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sz w:val="32"/>
          <w:szCs w:val="32"/>
        </w:rPr>
        <w:t>附件2：</w:t>
      </w:r>
      <w:r>
        <w:rPr>
          <w:rFonts w:hint="eastAsia" w:asciiTheme="minorEastAsia" w:hAnsiTheme="minorEastAsia" w:eastAsiaTheme="minorEastAsia" w:cstheme="minorEastAsia"/>
          <w:b/>
          <w:bCs/>
          <w:color w:val="000000"/>
          <w:sz w:val="32"/>
          <w:szCs w:val="32"/>
        </w:rPr>
        <w:t>北京市大龙伟业房地产开发股份有限公司2024年度</w:t>
      </w:r>
    </w:p>
    <w:p>
      <w:pPr>
        <w:ind w:firstLine="2249" w:firstLineChars="7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审计项目邀请招标文件</w:t>
      </w:r>
    </w:p>
    <w:p>
      <w:pPr>
        <w:ind w:firstLine="1285" w:firstLineChars="400"/>
        <w:rPr>
          <w:rFonts w:asciiTheme="minorEastAsia" w:hAnsiTheme="minorEastAsia" w:eastAsiaTheme="minorEastAsia" w:cstheme="minorEastAsia"/>
          <w:b/>
          <w:bCs/>
          <w:color w:val="000000"/>
          <w:sz w:val="32"/>
          <w:szCs w:val="32"/>
        </w:rPr>
      </w:pPr>
    </w:p>
    <w:p>
      <w:pPr>
        <w:jc w:val="center"/>
        <w:rPr>
          <w:rFonts w:ascii="楷体" w:hAnsi="楷体" w:eastAsia="楷体" w:cs="楷体"/>
          <w:color w:val="000000"/>
          <w:sz w:val="44"/>
          <w:szCs w:val="44"/>
        </w:rPr>
      </w:pPr>
      <w:r>
        <w:rPr>
          <w:rFonts w:hint="eastAsia" w:ascii="楷体" w:hAnsi="楷体" w:eastAsia="楷体" w:cs="楷体"/>
          <w:color w:val="000000"/>
          <w:sz w:val="44"/>
          <w:szCs w:val="44"/>
        </w:rPr>
        <w:t>北京市大龙伟业房地产开发股份有限公司</w:t>
      </w:r>
    </w:p>
    <w:p>
      <w:pPr>
        <w:jc w:val="center"/>
        <w:rPr>
          <w:rFonts w:ascii="楷体" w:hAnsi="楷体" w:eastAsia="楷体" w:cs="楷体"/>
          <w:color w:val="000000"/>
          <w:sz w:val="44"/>
          <w:szCs w:val="44"/>
        </w:rPr>
      </w:pPr>
      <w:r>
        <w:rPr>
          <w:rFonts w:hint="eastAsia" w:ascii="楷体" w:hAnsi="楷体" w:eastAsia="楷体" w:cs="楷体"/>
          <w:color w:val="000000"/>
          <w:sz w:val="44"/>
          <w:szCs w:val="44"/>
        </w:rPr>
        <w:t>2024年度审计项目邀请招标文件</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各意向合作方：</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我公司拟就《2024年度财务报表审计项目、2024年度财务报表内部控制审计项目》进行邀请招标，如贵单位有意参与本项目，请务必详细阅读和理解本项目的招标文件及所有附件(招标文件免费领取)。并根据招标文件的要求准备响应文件。 </w:t>
      </w:r>
    </w:p>
    <w:p>
      <w:pPr>
        <w:ind w:firstLine="560" w:firstLineChars="200"/>
        <w:rPr>
          <w:rFonts w:ascii="楷体" w:hAnsi="楷体" w:eastAsia="楷体" w:cs="楷体"/>
          <w:color w:val="000000"/>
          <w:sz w:val="28"/>
          <w:szCs w:val="28"/>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投标事项咨询： </w:t>
      </w:r>
    </w:p>
    <w:p>
      <w:pPr>
        <w:ind w:firstLine="840" w:firstLineChars="300"/>
        <w:rPr>
          <w:rFonts w:ascii="楷体" w:hAnsi="楷体" w:eastAsia="楷体" w:cs="楷体"/>
          <w:color w:val="000000"/>
          <w:sz w:val="28"/>
          <w:szCs w:val="28"/>
        </w:rPr>
      </w:pPr>
      <w:r>
        <w:rPr>
          <w:rFonts w:hint="eastAsia" w:ascii="楷体" w:hAnsi="楷体" w:eastAsia="楷体" w:cs="楷体"/>
          <w:color w:val="000000"/>
          <w:sz w:val="28"/>
          <w:szCs w:val="28"/>
        </w:rPr>
        <w:t>尚丹峰      办公室：010-69440513</w:t>
      </w:r>
    </w:p>
    <w:p>
      <w:pPr>
        <w:ind w:firstLine="560" w:firstLineChars="200"/>
        <w:rPr>
          <w:rFonts w:ascii="楷体" w:hAnsi="楷体" w:eastAsia="楷体" w:cs="楷体"/>
          <w:color w:val="000000"/>
          <w:sz w:val="28"/>
          <w:szCs w:val="28"/>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领取标书的方式：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1.现场领取：</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领取地址：北京市大龙伟业房地产开发股份有限公司财务部办公室。</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2.电子版领取：</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致电投标事项咨询电话，确认领取电子版并告知电子邮箱。</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3.响应文件送达地址：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北京市大龙伟业房地产开发股份有限公司</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北京市顺义区府前东街甲2号</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邮编：101300</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联系人： 尚丹峰 电话：010-69440513</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接收标书截止日期：2024年 4月12日10:00。</w:t>
      </w:r>
    </w:p>
    <w:p>
      <w:pPr>
        <w:ind w:left="561" w:leftChars="267"/>
        <w:rPr>
          <w:rFonts w:ascii="楷体" w:hAnsi="楷体" w:eastAsia="楷体" w:cs="楷体"/>
          <w:color w:val="000000"/>
          <w:sz w:val="28"/>
          <w:szCs w:val="28"/>
        </w:rPr>
      </w:pPr>
      <w:r>
        <w:rPr>
          <w:rFonts w:hint="eastAsia" w:ascii="楷体" w:hAnsi="楷体" w:eastAsia="楷体" w:cs="楷体"/>
          <w:color w:val="000000"/>
          <w:sz w:val="28"/>
          <w:szCs w:val="28"/>
        </w:rPr>
        <w:t>评标时间： 2024年4月12日13:30分。</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评标地点：北京市大龙伟业房地产开发股份有限公司</w:t>
      </w:r>
    </w:p>
    <w:p>
      <w:pPr>
        <w:ind w:left="561" w:leftChars="267" w:firstLine="1540" w:firstLineChars="550"/>
        <w:rPr>
          <w:rFonts w:ascii="楷体" w:hAnsi="楷体" w:eastAsia="楷体" w:cs="楷体"/>
          <w:color w:val="000000"/>
          <w:sz w:val="28"/>
          <w:szCs w:val="28"/>
        </w:rPr>
      </w:pPr>
      <w:r>
        <w:rPr>
          <w:rFonts w:hint="eastAsia" w:ascii="楷体" w:hAnsi="楷体" w:eastAsia="楷体" w:cs="楷体"/>
          <w:color w:val="000000"/>
          <w:sz w:val="28"/>
          <w:szCs w:val="28"/>
        </w:rPr>
        <w:t>三楼会议室。</w:t>
      </w:r>
    </w:p>
    <w:p>
      <w:pPr>
        <w:rPr>
          <w:rFonts w:ascii="楷体" w:hAnsi="楷体" w:eastAsia="楷体" w:cs="楷体"/>
          <w:color w:val="000000"/>
          <w:sz w:val="28"/>
          <w:szCs w:val="28"/>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附件：1、招标事项说明 </w:t>
      </w:r>
    </w:p>
    <w:p>
      <w:pPr>
        <w:numPr>
          <w:ilvl w:val="0"/>
          <w:numId w:val="1"/>
        </w:numPr>
        <w:ind w:firstLine="1400"/>
        <w:rPr>
          <w:rFonts w:ascii="楷体" w:hAnsi="楷体" w:eastAsia="楷体" w:cs="楷体"/>
          <w:color w:val="000000"/>
          <w:sz w:val="28"/>
          <w:szCs w:val="28"/>
        </w:rPr>
      </w:pPr>
      <w:r>
        <w:rPr>
          <w:rFonts w:hint="eastAsia" w:ascii="楷体" w:hAnsi="楷体" w:eastAsia="楷体" w:cs="楷体"/>
          <w:color w:val="000000"/>
          <w:sz w:val="28"/>
          <w:szCs w:val="28"/>
        </w:rPr>
        <w:t>评标方法和标准</w:t>
      </w:r>
    </w:p>
    <w:p>
      <w:pPr>
        <w:numPr>
          <w:ilvl w:val="0"/>
          <w:numId w:val="1"/>
        </w:numPr>
        <w:ind w:firstLine="1400"/>
        <w:rPr>
          <w:rFonts w:ascii="楷体" w:hAnsi="楷体" w:eastAsia="楷体" w:cs="楷体"/>
          <w:color w:val="000000"/>
          <w:sz w:val="28"/>
          <w:szCs w:val="28"/>
        </w:rPr>
      </w:pPr>
      <w:r>
        <w:rPr>
          <w:rFonts w:hint="eastAsia" w:ascii="楷体" w:hAnsi="楷体" w:eastAsia="楷体" w:cs="楷体"/>
          <w:color w:val="000000"/>
          <w:sz w:val="28"/>
          <w:szCs w:val="28"/>
        </w:rPr>
        <w:t xml:space="preserve">响应文件格式和内容要求 </w:t>
      </w:r>
    </w:p>
    <w:p>
      <w:pPr>
        <w:numPr>
          <w:ilvl w:val="0"/>
          <w:numId w:val="1"/>
        </w:numPr>
        <w:ind w:firstLine="1400"/>
        <w:rPr>
          <w:rFonts w:ascii="楷体" w:hAnsi="楷体" w:eastAsia="楷体" w:cs="楷体"/>
          <w:color w:val="000000"/>
          <w:sz w:val="28"/>
          <w:szCs w:val="28"/>
        </w:rPr>
      </w:pPr>
      <w:r>
        <w:rPr>
          <w:rFonts w:hint="eastAsia" w:ascii="楷体" w:hAnsi="楷体" w:eastAsia="楷体" w:cs="楷体"/>
          <w:color w:val="000000"/>
          <w:sz w:val="28"/>
          <w:szCs w:val="28"/>
        </w:rPr>
        <w:t>投标报价表</w:t>
      </w:r>
    </w:p>
    <w:p>
      <w:pPr>
        <w:numPr>
          <w:ilvl w:val="0"/>
          <w:numId w:val="1"/>
        </w:numPr>
        <w:ind w:firstLine="1400"/>
        <w:rPr>
          <w:rFonts w:ascii="楷体" w:hAnsi="楷体" w:eastAsia="楷体" w:cs="楷体"/>
          <w:color w:val="000000"/>
          <w:sz w:val="28"/>
          <w:szCs w:val="28"/>
        </w:rPr>
      </w:pPr>
      <w:r>
        <w:rPr>
          <w:rFonts w:hint="eastAsia" w:ascii="楷体" w:hAnsi="楷体" w:eastAsia="楷体" w:cs="楷体"/>
          <w:color w:val="000000"/>
          <w:sz w:val="28"/>
          <w:szCs w:val="28"/>
        </w:rPr>
        <w:t>法定代表人资格证明书</w:t>
      </w:r>
    </w:p>
    <w:p>
      <w:pPr>
        <w:numPr>
          <w:ilvl w:val="0"/>
          <w:numId w:val="1"/>
        </w:numPr>
        <w:ind w:firstLine="1400"/>
        <w:rPr>
          <w:rFonts w:ascii="楷体" w:hAnsi="楷体" w:eastAsia="楷体" w:cs="楷体"/>
          <w:color w:val="000000"/>
          <w:sz w:val="28"/>
          <w:szCs w:val="28"/>
        </w:rPr>
      </w:pPr>
      <w:r>
        <w:rPr>
          <w:rFonts w:hint="eastAsia" w:ascii="楷体" w:hAnsi="楷体" w:eastAsia="楷体" w:cs="楷体"/>
          <w:color w:val="000000"/>
          <w:sz w:val="28"/>
          <w:szCs w:val="28"/>
        </w:rPr>
        <w:t>法定代表人授权委托书</w:t>
      </w:r>
    </w:p>
    <w:p>
      <w:pPr>
        <w:numPr>
          <w:ilvl w:val="0"/>
          <w:numId w:val="1"/>
        </w:numPr>
        <w:ind w:firstLine="1400"/>
        <w:rPr>
          <w:rStyle w:val="8"/>
          <w:rFonts w:ascii="楷体" w:hAnsi="楷体" w:eastAsia="楷体" w:cs="楷体"/>
          <w:color w:val="000000"/>
          <w:sz w:val="28"/>
          <w:szCs w:val="28"/>
        </w:rPr>
      </w:pPr>
      <w:r>
        <w:rPr>
          <w:rFonts w:hint="eastAsia" w:ascii="楷体" w:hAnsi="楷体" w:eastAsia="楷体" w:cs="楷体"/>
          <w:color w:val="000000"/>
          <w:sz w:val="28"/>
          <w:szCs w:val="28"/>
        </w:rPr>
        <w:t>服务承诺书</w:t>
      </w:r>
    </w:p>
    <w:p>
      <w:pPr>
        <w:rPr>
          <w:rFonts w:ascii="楷体" w:hAnsi="楷体" w:eastAsia="楷体" w:cs="楷体"/>
          <w:color w:val="000000"/>
          <w:sz w:val="28"/>
          <w:szCs w:val="28"/>
        </w:rPr>
      </w:pPr>
    </w:p>
    <w:p>
      <w:pPr>
        <w:ind w:firstLine="3080" w:firstLineChars="1100"/>
        <w:rPr>
          <w:rFonts w:ascii="楷体" w:hAnsi="楷体" w:eastAsia="楷体" w:cs="楷体"/>
          <w:color w:val="000000"/>
          <w:sz w:val="28"/>
          <w:szCs w:val="28"/>
        </w:rPr>
      </w:pPr>
      <w:r>
        <w:rPr>
          <w:rFonts w:hint="eastAsia" w:ascii="楷体" w:hAnsi="楷体" w:eastAsia="楷体" w:cs="楷体"/>
          <w:color w:val="000000"/>
          <w:sz w:val="28"/>
          <w:szCs w:val="28"/>
        </w:rPr>
        <w:t>北京市大龙伟业房地产开发股份有限公司</w:t>
      </w:r>
    </w:p>
    <w:p>
      <w:pPr>
        <w:ind w:right="560" w:firstLine="4760" w:firstLineChars="1700"/>
        <w:rPr>
          <w:rFonts w:ascii="楷体" w:hAnsi="楷体" w:eastAsia="楷体" w:cs="楷体"/>
          <w:color w:val="000000"/>
          <w:sz w:val="28"/>
          <w:szCs w:val="28"/>
        </w:rPr>
      </w:pPr>
      <w:r>
        <w:rPr>
          <w:rFonts w:hint="eastAsia" w:ascii="楷体" w:hAnsi="楷体" w:eastAsia="楷体" w:cs="楷体"/>
          <w:color w:val="000000"/>
          <w:sz w:val="28"/>
          <w:szCs w:val="28"/>
        </w:rPr>
        <w:t xml:space="preserve">2024年3月20日 </w:t>
      </w:r>
    </w:p>
    <w:p>
      <w:pPr>
        <w:rPr>
          <w:rFonts w:ascii="楷体" w:hAnsi="楷体" w:eastAsia="楷体" w:cs="楷体"/>
          <w:color w:val="000000"/>
          <w:sz w:val="28"/>
          <w:szCs w:val="28"/>
        </w:rPr>
      </w:pPr>
      <w:r>
        <w:rPr>
          <w:rFonts w:hint="eastAsia" w:ascii="楷体" w:hAnsi="楷体" w:eastAsia="楷体" w:cs="楷体"/>
          <w:color w:val="000000"/>
          <w:sz w:val="28"/>
          <w:szCs w:val="28"/>
        </w:rPr>
        <w:br w:type="page"/>
      </w:r>
      <w:r>
        <w:rPr>
          <w:rFonts w:hint="eastAsia" w:ascii="楷体" w:hAnsi="楷体" w:eastAsia="楷体" w:cs="楷体"/>
          <w:color w:val="000000"/>
          <w:sz w:val="28"/>
          <w:szCs w:val="28"/>
        </w:rPr>
        <w:t>附件 1：</w:t>
      </w:r>
    </w:p>
    <w:p>
      <w:pPr>
        <w:jc w:val="center"/>
        <w:rPr>
          <w:rFonts w:ascii="楷体" w:hAnsi="楷体" w:eastAsia="楷体" w:cs="楷体"/>
          <w:color w:val="000000"/>
          <w:sz w:val="44"/>
          <w:szCs w:val="44"/>
        </w:rPr>
      </w:pPr>
      <w:r>
        <w:rPr>
          <w:rFonts w:hint="eastAsia" w:ascii="楷体" w:hAnsi="楷体" w:eastAsia="楷体" w:cs="楷体"/>
          <w:color w:val="000000"/>
          <w:sz w:val="44"/>
          <w:szCs w:val="44"/>
        </w:rPr>
        <w:t>招标事项说明</w:t>
      </w:r>
    </w:p>
    <w:p>
      <w:pPr>
        <w:ind w:firstLine="560" w:firstLineChars="200"/>
        <w:rPr>
          <w:rFonts w:ascii="楷体" w:hAnsi="楷体" w:eastAsia="楷体" w:cs="楷体"/>
          <w:color w:val="000000"/>
          <w:sz w:val="28"/>
          <w:szCs w:val="28"/>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为方便陈述，北京市大龙伟业房地产开发股份有限公司简称“招标方”，参与投标的各意向合作方简称“投标方”。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一、招标标的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北京市大龙伟业房地产开发股份有限公司2024年度财务报表审计、2024年度财务报表内部控制审计会计师事务所选聘项目，具体信息如下：</w:t>
      </w:r>
    </w:p>
    <w:p>
      <w:pPr>
        <w:pStyle w:val="9"/>
        <w:ind w:left="720" w:firstLine="0" w:firstLineChars="0"/>
        <w:rPr>
          <w:rFonts w:ascii="楷体" w:hAnsi="楷体" w:eastAsia="楷体" w:cs="楷体"/>
          <w:color w:val="000000"/>
          <w:sz w:val="28"/>
          <w:szCs w:val="28"/>
        </w:rPr>
      </w:pPr>
      <w:r>
        <w:rPr>
          <w:rFonts w:hint="eastAsia" w:ascii="楷体" w:hAnsi="楷体" w:eastAsia="楷体" w:cs="楷体"/>
          <w:color w:val="000000"/>
          <w:sz w:val="28"/>
          <w:szCs w:val="28"/>
        </w:rPr>
        <w:t>大龙伟业公司基本情况：</w:t>
      </w:r>
    </w:p>
    <w:p>
      <w:pPr>
        <w:pStyle w:val="4"/>
        <w:spacing w:line="560" w:lineRule="exact"/>
        <w:ind w:left="0" w:leftChars="0"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1、经营规模：截止到2023年3季度集团整体资产总额37.60亿元、负债总额14.20亿元，所有者权益23.4亿元，营业收入5.32亿元。营业成本4.54亿元，利润总额0.16万元。</w:t>
      </w:r>
    </w:p>
    <w:p>
      <w:pPr>
        <w:pStyle w:val="4"/>
        <w:spacing w:line="560" w:lineRule="exact"/>
        <w:ind w:left="0" w:leftChars="0"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2、审计单位户数：母公司、2家子公司、8家孙公司共计11户。</w:t>
      </w:r>
    </w:p>
    <w:p>
      <w:pPr>
        <w:tabs>
          <w:tab w:val="left" w:pos="2160"/>
        </w:tabs>
        <w:spacing w:line="360" w:lineRule="auto"/>
        <w:jc w:val="left"/>
        <w:rPr>
          <w:rFonts w:ascii="楷体" w:hAnsi="楷体" w:eastAsia="楷体" w:cs="楷体"/>
          <w:color w:val="000000"/>
          <w:sz w:val="28"/>
          <w:szCs w:val="28"/>
        </w:rPr>
      </w:pPr>
      <w:r>
        <w:rPr>
          <w:rFonts w:hint="eastAsia" w:ascii="楷体" w:hAnsi="楷体" w:eastAsia="楷体" w:cs="楷体"/>
          <w:color w:val="000000"/>
          <w:sz w:val="28"/>
          <w:szCs w:val="28"/>
        </w:rPr>
        <w:t>需出具合并财务报表审计报告、内部控制审计报告、非经营性资金占用及其他关联资金往来情况汇总表的专项说明、关于营业收入扣除情况的专项核查意见、3家子公司财务报表审计报告。</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二、其他事项说明 </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投标保证金数额为: 无 。</w:t>
      </w:r>
    </w:p>
    <w:p>
      <w:pPr>
        <w:numPr>
          <w:ilvl w:val="0"/>
          <w:numId w:val="2"/>
        </w:numPr>
        <w:ind w:firstLine="560" w:firstLineChars="200"/>
        <w:rPr>
          <w:rFonts w:ascii="楷体" w:hAnsi="楷体" w:eastAsia="楷体" w:cs="楷体"/>
          <w:sz w:val="28"/>
          <w:szCs w:val="28"/>
        </w:rPr>
      </w:pPr>
      <w:r>
        <w:rPr>
          <w:rFonts w:hint="eastAsia" w:ascii="楷体" w:hAnsi="楷体" w:eastAsia="楷体" w:cs="楷体"/>
          <w:sz w:val="28"/>
          <w:szCs w:val="28"/>
        </w:rPr>
        <w:t>中标方须在接到中标通知书后3日内，与招标方确定是否合作。</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招标控制价：本项目招标控制价为：</w:t>
      </w:r>
      <w:r>
        <w:rPr>
          <w:rFonts w:ascii="Arial" w:hAnsi="Arial" w:eastAsia="楷体" w:cs="Arial"/>
          <w:color w:val="000000"/>
          <w:sz w:val="28"/>
          <w:szCs w:val="28"/>
        </w:rPr>
        <w:t>¥</w:t>
      </w:r>
      <w:r>
        <w:rPr>
          <w:rFonts w:hint="eastAsia" w:ascii="楷体" w:hAnsi="楷体" w:eastAsia="楷体" w:cs="楷体"/>
          <w:color w:val="000000"/>
          <w:sz w:val="28"/>
          <w:szCs w:val="28"/>
        </w:rPr>
        <w:t>75万元，参与投标单位所报价不得超过招标控制价，超过按废标处理。控制价格主要依据以往年度审计费用价格及行业基准价。</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投标报价: 项目范围为上述标的范围内的全部工作，报价应包含税费等,投标人应根据其投标报价的构成（年度财务报表审计、年度财务报表内部控制审计）在报价里提供分项报价明细，格式由投标人自行制表填写。</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无论投标方是否中标，投标方参与招标程序的所有费用均由其自行承担。</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任何要求对招标文件进行澄清的潜在投标方均应在接收标书截止日期3月22日前，以书面方式向招标方提出，由招标方予以书面答复。</w:t>
      </w:r>
    </w:p>
    <w:p>
      <w:pPr>
        <w:numPr>
          <w:ilvl w:val="0"/>
          <w:numId w:val="2"/>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发出中标通知书后6个月内，中标单位与招标方签订正规的《2024年度财务报表审计合同》、《2024年度财务报表内部控制审计合同》。具体事宜以双方签订合同的约定内容为准。</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三、邀标程序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本次邀请招标主要程序如下： </w:t>
      </w:r>
    </w:p>
    <w:p>
      <w:pPr>
        <w:numPr>
          <w:ilvl w:val="0"/>
          <w:numId w:val="3"/>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投标方按本邀请函要求向招标方提交响应文件。 </w:t>
      </w:r>
    </w:p>
    <w:p>
      <w:pPr>
        <w:numPr>
          <w:ilvl w:val="0"/>
          <w:numId w:val="3"/>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招标方评标。</w:t>
      </w:r>
    </w:p>
    <w:p>
      <w:pPr>
        <w:numPr>
          <w:ilvl w:val="0"/>
          <w:numId w:val="3"/>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招标方在评标结束后3日内发出中标通知，并公示。</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四、对响应文件的要求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投标方应按一式五份提交响应文件（响应文件构成详见附件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五、声明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受邀公司未在响应文件中提及且未明确书面提出异议的事项，按本邀请函的要求执行。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招标方在任何时候均有权解释或调整本邀请函及附件内容。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本邀请函及附件受法律保护，所有文件仅限于受邀公司参加本次邀请招标使用，任何用于其他目的之复制或引用均应事先获得招标方书面许可。受邀公司应对此次投标中招标方提供的任何信息及文件负保密义务，如因受邀公司泄密造成招标方损失，招标方将追究其法律责任。</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受邀公司没有按规定时间和内容提供材料的，视为放弃；受邀公司提供虚假材料或文件存在其他有违商业诚信的行为时，自动丧失参加资格。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受邀公司提供的文档、陈述和演示均应使用中文。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受邀公司不得以任何理由要求退还已提交的响应文件。 </w:t>
      </w:r>
    </w:p>
    <w:p>
      <w:pPr>
        <w:numPr>
          <w:ilvl w:val="0"/>
          <w:numId w:val="4"/>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对本邀请函及附件存有疑问的，请按前文时间要求向招标方询问。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六、反商业贿赂的特别声明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在招投标过程中，投标方不得安排招标方业务人员参加任何可能对公正履行职责有影响的活动，提供任何形式馈赠的礼品、礼金、有价证券等，一经发现，视受邀公司自动弃权。 </w:t>
      </w:r>
      <w:r>
        <w:rPr>
          <w:rFonts w:hint="eastAsia" w:ascii="楷体" w:hAnsi="楷体" w:eastAsia="楷体" w:cs="楷体"/>
          <w:color w:val="000000"/>
          <w:sz w:val="28"/>
          <w:szCs w:val="28"/>
        </w:rPr>
        <w:br w:type="page"/>
      </w:r>
      <w:r>
        <w:rPr>
          <w:rFonts w:hint="eastAsia" w:ascii="宋体" w:hAnsi="宋体"/>
          <w:b/>
          <w:sz w:val="32"/>
          <w:lang w:val="zh-CN"/>
        </w:rPr>
        <w:t>附件</w:t>
      </w:r>
      <w:r>
        <w:rPr>
          <w:rFonts w:hint="eastAsia" w:ascii="宋体" w:hAnsi="宋体"/>
          <w:b/>
          <w:sz w:val="32"/>
        </w:rPr>
        <w:t>2</w:t>
      </w:r>
      <w:r>
        <w:rPr>
          <w:rFonts w:hint="eastAsia" w:ascii="宋体" w:hAnsi="宋体"/>
          <w:b/>
          <w:sz w:val="32"/>
          <w:lang w:val="zh-CN"/>
        </w:rPr>
        <w:t xml:space="preserve">评标办法 </w:t>
      </w:r>
      <w:r>
        <w:rPr>
          <w:rFonts w:ascii="宋体" w:hAnsi="宋体"/>
          <w:b/>
          <w:sz w:val="32"/>
          <w:lang w:val="zh-CN"/>
        </w:rPr>
        <w:t>(</w:t>
      </w:r>
      <w:r>
        <w:rPr>
          <w:rFonts w:hint="eastAsia" w:ascii="宋体" w:hAnsi="宋体"/>
          <w:b/>
          <w:sz w:val="32"/>
          <w:lang w:val="zh-CN"/>
        </w:rPr>
        <w:t>综合评估法</w:t>
      </w:r>
      <w:r>
        <w:rPr>
          <w:rFonts w:ascii="宋体" w:hAnsi="宋体"/>
          <w:b/>
          <w:sz w:val="32"/>
          <w:lang w:val="zh-CN"/>
        </w:rPr>
        <w:t>)</w:t>
      </w:r>
    </w:p>
    <w:p>
      <w:pPr>
        <w:rPr>
          <w:rFonts w:ascii="宋体" w:hAnsi="宋体"/>
          <w:lang w:val="zh-CN"/>
        </w:rPr>
      </w:pPr>
    </w:p>
    <w:p>
      <w:pPr>
        <w:autoSpaceDE w:val="0"/>
        <w:autoSpaceDN w:val="0"/>
        <w:adjustRightInd w:val="0"/>
        <w:spacing w:line="400" w:lineRule="exact"/>
        <w:jc w:val="left"/>
        <w:rPr>
          <w:rFonts w:ascii="宋体" w:hAnsi="宋体" w:cs="宋体"/>
          <w:b/>
          <w:szCs w:val="21"/>
          <w:lang w:val="zh-CN"/>
        </w:rPr>
      </w:pPr>
      <w:r>
        <w:rPr>
          <w:rFonts w:hint="eastAsia" w:ascii="宋体" w:hAnsi="宋体" w:cs="宋体"/>
          <w:b/>
          <w:szCs w:val="21"/>
        </w:rPr>
        <w:t>2.1</w:t>
      </w:r>
      <w:r>
        <w:rPr>
          <w:rFonts w:hint="eastAsia" w:ascii="宋体" w:hAnsi="宋体" w:cs="宋体"/>
          <w:b/>
          <w:szCs w:val="21"/>
          <w:lang w:val="zh-CN"/>
        </w:rPr>
        <w:t xml:space="preserve">评标办法附表（一） </w:t>
      </w:r>
    </w:p>
    <w:tbl>
      <w:tblPr>
        <w:tblStyle w:val="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46"/>
        <w:gridCol w:w="1568"/>
        <w:gridCol w:w="546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8" w:type="dxa"/>
            <w:gridSpan w:val="2"/>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条款号</w:t>
            </w:r>
          </w:p>
        </w:tc>
        <w:tc>
          <w:tcPr>
            <w:tcW w:w="15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评审因素</w:t>
            </w:r>
          </w:p>
        </w:tc>
        <w:tc>
          <w:tcPr>
            <w:tcW w:w="54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评审标准</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r>
              <w:rPr>
                <w:rFonts w:hint="eastAsia" w:ascii="宋体" w:hAnsi="宋体" w:cs="宋体"/>
                <w:b/>
                <w:bCs/>
                <w:szCs w:val="21"/>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742" w:type="dxa"/>
            <w:vMerge w:val="restart"/>
            <w:noWrap/>
            <w:vAlign w:val="center"/>
          </w:tcPr>
          <w:p>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2.1.1</w:t>
            </w:r>
          </w:p>
        </w:tc>
        <w:tc>
          <w:tcPr>
            <w:tcW w:w="1146" w:type="dxa"/>
            <w:vMerge w:val="restart"/>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形式评审标准</w:t>
            </w:r>
          </w:p>
        </w:tc>
        <w:tc>
          <w:tcPr>
            <w:tcW w:w="15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投标人名称</w:t>
            </w:r>
          </w:p>
        </w:tc>
        <w:tc>
          <w:tcPr>
            <w:tcW w:w="5468"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与企业法人营业执照一致。 </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投标函</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盖章</w:t>
            </w:r>
          </w:p>
        </w:tc>
        <w:tc>
          <w:tcPr>
            <w:tcW w:w="5468"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按照招标文件中提供的文件格式的要求签字、盖章。法定代表人或其委托代理人签字（或盖章）并加盖单位公章，委托代理人签字的，其法定代表人授权委托书须由法定代表人签署。</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42" w:type="dxa"/>
            <w:vMerge w:val="continue"/>
            <w:tcBorders>
              <w:bottom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bottom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bottom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报价唯一</w:t>
            </w:r>
          </w:p>
        </w:tc>
        <w:tc>
          <w:tcPr>
            <w:tcW w:w="5468" w:type="dxa"/>
            <w:tcBorders>
              <w:bottom w:val="single" w:color="auto" w:sz="4" w:space="0"/>
            </w:tcBorders>
            <w:noWrap/>
            <w:vAlign w:val="center"/>
          </w:tcPr>
          <w:p>
            <w:pPr>
              <w:widowControl/>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只能有一个有效报价。</w:t>
            </w:r>
          </w:p>
        </w:tc>
        <w:tc>
          <w:tcPr>
            <w:tcW w:w="752" w:type="dxa"/>
            <w:tcBorders>
              <w:bottom w:val="single" w:color="auto" w:sz="4" w:space="0"/>
            </w:tcBorders>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2" w:type="dxa"/>
            <w:vMerge w:val="restart"/>
            <w:noWrap/>
            <w:vAlign w:val="center"/>
          </w:tcPr>
          <w:p>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2.1.2</w:t>
            </w:r>
          </w:p>
        </w:tc>
        <w:tc>
          <w:tcPr>
            <w:tcW w:w="1146" w:type="dxa"/>
            <w:vMerge w:val="restart"/>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资格评审标准</w:t>
            </w:r>
          </w:p>
        </w:tc>
        <w:tc>
          <w:tcPr>
            <w:tcW w:w="15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营业执照</w:t>
            </w:r>
          </w:p>
        </w:tc>
        <w:tc>
          <w:tcPr>
            <w:tcW w:w="5468" w:type="dxa"/>
            <w:noWrap/>
            <w:vAlign w:val="center"/>
          </w:tcPr>
          <w:p>
            <w:pPr>
              <w:spacing w:line="360" w:lineRule="auto"/>
              <w:rPr>
                <w:rFonts w:ascii="宋体" w:hAnsi="宋体" w:cs="宋体"/>
                <w:bCs/>
                <w:szCs w:val="21"/>
                <w:lang w:val="zh-CN"/>
              </w:rPr>
            </w:pPr>
            <w:r>
              <w:rPr>
                <w:rFonts w:hint="eastAsia" w:ascii="宋体" w:hAnsi="宋体" w:cs="宋体"/>
                <w:bCs/>
                <w:szCs w:val="21"/>
                <w:lang w:val="zh-CN"/>
              </w:rPr>
              <w:t>提供</w:t>
            </w:r>
            <w:r>
              <w:rPr>
                <w:rFonts w:hint="eastAsia" w:ascii="宋体" w:hAnsi="宋体"/>
              </w:rPr>
              <w:t>营业执照副本</w:t>
            </w:r>
            <w:r>
              <w:rPr>
                <w:rFonts w:hint="eastAsia" w:ascii="宋体" w:hAnsi="宋体" w:cs="宋体"/>
                <w:bCs/>
                <w:szCs w:val="21"/>
                <w:lang w:val="zh-CN"/>
              </w:rPr>
              <w:t>复印件</w:t>
            </w:r>
            <w:r>
              <w:rPr>
                <w:rFonts w:hint="eastAsia" w:ascii="宋体" w:hAnsi="宋体" w:cs="宋体"/>
                <w:bCs/>
                <w:szCs w:val="21"/>
              </w:rPr>
              <w:t>加盖公章</w:t>
            </w:r>
            <w:r>
              <w:rPr>
                <w:rFonts w:hint="eastAsia" w:ascii="宋体" w:hAnsi="宋体" w:cs="宋体"/>
                <w:bCs/>
                <w:szCs w:val="21"/>
                <w:lang w:val="zh-CN"/>
              </w:rPr>
              <w:t>装订在响应文件中。</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noWrap/>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专业技术</w:t>
            </w:r>
          </w:p>
        </w:tc>
        <w:tc>
          <w:tcPr>
            <w:tcW w:w="5468" w:type="dxa"/>
            <w:noWrap/>
            <w:vAlign w:val="center"/>
          </w:tcPr>
          <w:p>
            <w:pPr>
              <w:spacing w:line="360" w:lineRule="auto"/>
              <w:rPr>
                <w:rFonts w:ascii="宋体" w:hAnsi="宋体" w:cs="宋体"/>
                <w:bCs/>
                <w:szCs w:val="21"/>
              </w:rPr>
            </w:pPr>
            <w:r>
              <w:rPr>
                <w:rFonts w:hint="eastAsia" w:ascii="宋体" w:hAnsi="宋体" w:cs="宋体"/>
                <w:bCs/>
                <w:szCs w:val="21"/>
              </w:rPr>
              <w:t>提供会计师事务所执业证书复印件，证券、期货相关业务许可证复印件加盖公章装订在响应文件中。</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noWrap/>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财务状况</w:t>
            </w:r>
          </w:p>
        </w:tc>
        <w:tc>
          <w:tcPr>
            <w:tcW w:w="5468" w:type="dxa"/>
            <w:noWrap/>
            <w:vAlign w:val="center"/>
          </w:tcPr>
          <w:p>
            <w:pPr>
              <w:spacing w:line="360" w:lineRule="auto"/>
              <w:rPr>
                <w:rFonts w:ascii="宋体" w:hAnsi="宋体" w:cs="宋体"/>
                <w:bCs/>
                <w:szCs w:val="21"/>
                <w:lang w:val="zh-CN"/>
              </w:rPr>
            </w:pPr>
            <w:r>
              <w:rPr>
                <w:rFonts w:hint="eastAsia" w:ascii="宋体" w:hAnsi="宋体" w:cs="宋体"/>
                <w:bCs/>
                <w:szCs w:val="21"/>
                <w:lang w:val="zh-CN"/>
              </w:rPr>
              <w:t>具有良好商业信誉和健全财务会计制度提供承诺书（格式自拟）证明材料</w:t>
            </w:r>
            <w:r>
              <w:rPr>
                <w:rFonts w:hint="eastAsia" w:ascii="宋体" w:hAnsi="宋体" w:cs="宋体"/>
                <w:bCs/>
                <w:szCs w:val="21"/>
              </w:rPr>
              <w:t>的</w:t>
            </w:r>
            <w:r>
              <w:rPr>
                <w:rFonts w:hint="eastAsia" w:ascii="宋体" w:hAnsi="宋体" w:cs="宋体"/>
                <w:bCs/>
                <w:szCs w:val="21"/>
                <w:lang w:val="zh-CN"/>
              </w:rPr>
              <w:t>复印件</w:t>
            </w:r>
            <w:r>
              <w:rPr>
                <w:rFonts w:hint="eastAsia" w:ascii="宋体" w:hAnsi="宋体" w:cs="宋体"/>
                <w:bCs/>
                <w:szCs w:val="21"/>
              </w:rPr>
              <w:t>加盖公章</w:t>
            </w:r>
            <w:r>
              <w:rPr>
                <w:rFonts w:hint="eastAsia" w:ascii="宋体" w:hAnsi="宋体" w:cs="宋体"/>
                <w:bCs/>
                <w:szCs w:val="21"/>
                <w:lang w:val="zh-CN"/>
              </w:rPr>
              <w:t>装订在响应文件中。</w:t>
            </w:r>
          </w:p>
        </w:tc>
        <w:tc>
          <w:tcPr>
            <w:tcW w:w="752" w:type="dxa"/>
            <w:noWrap/>
            <w:vAlign w:val="center"/>
          </w:tcPr>
          <w:p>
            <w:pPr>
              <w:autoSpaceDE w:val="0"/>
              <w:autoSpaceDN w:val="0"/>
              <w:adjustRightInd w:val="0"/>
              <w:spacing w:line="360" w:lineRule="auto"/>
              <w:jc w:val="center"/>
              <w:rPr>
                <w:rFonts w:ascii="宋体" w:hAnsi="宋体" w:cs="宋体"/>
                <w:b/>
                <w:bCs/>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其他</w:t>
            </w:r>
          </w:p>
        </w:tc>
        <w:tc>
          <w:tcPr>
            <w:tcW w:w="5468" w:type="dxa"/>
            <w:noWrap/>
            <w:vAlign w:val="center"/>
          </w:tcPr>
          <w:p>
            <w:pPr>
              <w:widowControl/>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本次招标不接受联合体。</w:t>
            </w:r>
          </w:p>
        </w:tc>
        <w:tc>
          <w:tcPr>
            <w:tcW w:w="752" w:type="dxa"/>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42" w:type="dxa"/>
            <w:vMerge w:val="restart"/>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2.1.3</w:t>
            </w:r>
          </w:p>
        </w:tc>
        <w:tc>
          <w:tcPr>
            <w:tcW w:w="1146" w:type="dxa"/>
            <w:vMerge w:val="restart"/>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响应性评审标准</w:t>
            </w: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210" w:firstLineChars="100"/>
              <w:jc w:val="center"/>
              <w:rPr>
                <w:rFonts w:ascii="宋体" w:hAnsi="宋体" w:cs="宋体"/>
                <w:bCs/>
                <w:szCs w:val="21"/>
                <w:lang w:val="zh-CN"/>
              </w:rPr>
            </w:pPr>
            <w:r>
              <w:rPr>
                <w:rFonts w:hint="eastAsia" w:ascii="宋体" w:hAnsi="宋体" w:cs="宋体"/>
                <w:bCs/>
                <w:szCs w:val="21"/>
                <w:lang w:val="zh-CN"/>
              </w:rPr>
              <w:t>投标报价</w:t>
            </w:r>
          </w:p>
        </w:tc>
        <w:tc>
          <w:tcPr>
            <w:tcW w:w="5468" w:type="dxa"/>
            <w:tcBorders>
              <w:left w:val="single" w:color="auto" w:sz="4" w:space="0"/>
              <w:bottom w:val="single" w:color="auto" w:sz="4" w:space="0"/>
              <w:right w:val="single" w:color="auto" w:sz="4" w:space="0"/>
            </w:tcBorders>
            <w:noWrap/>
            <w:vAlign w:val="center"/>
          </w:tcPr>
          <w:p>
            <w:pPr>
              <w:widowControl/>
              <w:autoSpaceDE w:val="0"/>
              <w:autoSpaceDN w:val="0"/>
              <w:adjustRightInd w:val="0"/>
              <w:spacing w:line="360" w:lineRule="auto"/>
              <w:jc w:val="left"/>
              <w:rPr>
                <w:rFonts w:ascii="宋体" w:hAnsi="宋体" w:cs="宋体"/>
                <w:bCs/>
                <w:szCs w:val="21"/>
              </w:rPr>
            </w:pPr>
            <w:r>
              <w:rPr>
                <w:rFonts w:hint="eastAsia" w:ascii="宋体" w:hAnsi="宋体" w:cs="宋体"/>
                <w:bCs/>
                <w:szCs w:val="21"/>
                <w:lang w:val="zh-CN"/>
              </w:rPr>
              <w:t>投标报价不高于控制价。</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210" w:firstLineChars="100"/>
              <w:jc w:val="center"/>
              <w:rPr>
                <w:rFonts w:ascii="宋体" w:hAnsi="宋体" w:cs="宋体"/>
                <w:bCs/>
                <w:szCs w:val="21"/>
                <w:lang w:val="zh-CN"/>
              </w:rPr>
            </w:pPr>
            <w:r>
              <w:rPr>
                <w:rFonts w:hint="eastAsia" w:ascii="宋体" w:hAnsi="宋体" w:cs="宋体"/>
                <w:bCs/>
                <w:szCs w:val="21"/>
                <w:lang w:val="zh-CN"/>
              </w:rPr>
              <w:t>项目业绩</w:t>
            </w:r>
          </w:p>
        </w:tc>
        <w:tc>
          <w:tcPr>
            <w:tcW w:w="5468" w:type="dxa"/>
            <w:tcBorders>
              <w:left w:val="single" w:color="auto" w:sz="4" w:space="0"/>
              <w:bottom w:val="single" w:color="auto" w:sz="4" w:space="0"/>
              <w:right w:val="single" w:color="auto" w:sz="4" w:space="0"/>
            </w:tcBorders>
            <w:noWrap/>
            <w:vAlign w:val="center"/>
          </w:tcPr>
          <w:p>
            <w:pPr>
              <w:widowControl/>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近</w:t>
            </w:r>
            <w:r>
              <w:rPr>
                <w:rFonts w:hint="eastAsia" w:ascii="宋体" w:hAnsi="宋体" w:cs="宋体"/>
                <w:bCs/>
                <w:szCs w:val="21"/>
              </w:rPr>
              <w:t>3年类似项目业绩。</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资质条件及人力资源配置</w:t>
            </w:r>
          </w:p>
        </w:tc>
        <w:tc>
          <w:tcPr>
            <w:tcW w:w="5468" w:type="dxa"/>
            <w:tcBorders>
              <w:left w:val="single" w:color="auto" w:sz="4" w:space="0"/>
              <w:bottom w:val="single" w:color="auto" w:sz="4" w:space="0"/>
              <w:right w:val="single" w:color="auto" w:sz="4" w:space="0"/>
            </w:tcBorders>
            <w:noWrap/>
            <w:vAlign w:val="center"/>
          </w:tcPr>
          <w:p>
            <w:pPr>
              <w:widowControl/>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rPr>
              <w:t>资质条件及人力资源配置较好，提供会计师事务所信息一览表、相关资质材料。</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top w:val="single" w:color="auto" w:sz="4" w:space="0"/>
              <w:lef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rPr>
              <w:t>质量管理</w:t>
            </w:r>
          </w:p>
        </w:tc>
        <w:tc>
          <w:tcPr>
            <w:tcW w:w="5468" w:type="dxa"/>
            <w:tcBorders>
              <w:top w:val="single" w:color="auto" w:sz="4" w:space="0"/>
            </w:tcBorders>
            <w:noWrap/>
            <w:vAlign w:val="center"/>
          </w:tcPr>
          <w:p>
            <w:pPr>
              <w:autoSpaceDE w:val="0"/>
              <w:autoSpaceDN w:val="0"/>
              <w:adjustRightInd w:val="0"/>
              <w:spacing w:line="360" w:lineRule="auto"/>
              <w:rPr>
                <w:rFonts w:ascii="宋体" w:hAnsi="宋体" w:cs="宋体"/>
                <w:bCs/>
                <w:szCs w:val="21"/>
              </w:rPr>
            </w:pPr>
            <w:r>
              <w:rPr>
                <w:rFonts w:hint="eastAsia" w:ascii="宋体" w:hAnsi="宋体" w:cs="宋体"/>
                <w:bCs/>
                <w:szCs w:val="21"/>
              </w:rPr>
              <w:t>质量管理水平</w:t>
            </w:r>
            <w:r>
              <w:rPr>
                <w:rFonts w:hint="eastAsia" w:ascii="宋体" w:hAnsi="宋体" w:cs="宋体"/>
                <w:bCs/>
                <w:szCs w:val="21"/>
                <w:lang w:val="zh-CN"/>
              </w:rPr>
              <w:t>符合国家及行业现行相关标准。</w:t>
            </w:r>
          </w:p>
        </w:tc>
        <w:tc>
          <w:tcPr>
            <w:tcW w:w="752" w:type="dxa"/>
            <w:tcBorders>
              <w:top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工作方案</w:t>
            </w:r>
          </w:p>
        </w:tc>
        <w:tc>
          <w:tcPr>
            <w:tcW w:w="5468"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方案合理可行，适用于招标方。</w:t>
            </w:r>
          </w:p>
        </w:tc>
        <w:tc>
          <w:tcPr>
            <w:tcW w:w="752" w:type="dxa"/>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信息安全</w:t>
            </w:r>
          </w:p>
        </w:tc>
        <w:tc>
          <w:tcPr>
            <w:tcW w:w="5468"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信息安全保障措施完备。</w:t>
            </w:r>
          </w:p>
        </w:tc>
        <w:tc>
          <w:tcPr>
            <w:tcW w:w="752" w:type="dxa"/>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财务状况</w:t>
            </w:r>
          </w:p>
        </w:tc>
        <w:tc>
          <w:tcPr>
            <w:tcW w:w="54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财务状况良好，提供近</w:t>
            </w:r>
            <w:r>
              <w:rPr>
                <w:rFonts w:hint="eastAsia" w:ascii="宋体" w:hAnsi="宋体" w:cs="宋体"/>
                <w:bCs/>
                <w:szCs w:val="21"/>
              </w:rPr>
              <w:t>3年财务报表。</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风险管理</w:t>
            </w:r>
          </w:p>
        </w:tc>
        <w:tc>
          <w:tcPr>
            <w:tcW w:w="54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风险承担能力良好，提供证明材料。</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2" w:type="dxa"/>
            <w:vMerge w:val="continue"/>
            <w:noWrap/>
            <w:vAlign w:val="center"/>
          </w:tcPr>
          <w:p>
            <w:pPr>
              <w:autoSpaceDE w:val="0"/>
              <w:autoSpaceDN w:val="0"/>
              <w:adjustRightInd w:val="0"/>
              <w:spacing w:line="360" w:lineRule="auto"/>
              <w:jc w:val="center"/>
              <w:rPr>
                <w:rFonts w:ascii="宋体" w:hAnsi="宋体" w:cs="宋体"/>
                <w:bCs/>
                <w:szCs w:val="21"/>
                <w:lang w:val="zh-CN"/>
              </w:rPr>
            </w:pPr>
          </w:p>
        </w:tc>
        <w:tc>
          <w:tcPr>
            <w:tcW w:w="1146" w:type="dxa"/>
            <w:vMerge w:val="continue"/>
            <w:tcBorders>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p>
        </w:tc>
        <w:tc>
          <w:tcPr>
            <w:tcW w:w="15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其他方面</w:t>
            </w:r>
          </w:p>
        </w:tc>
        <w:tc>
          <w:tcPr>
            <w:tcW w:w="5468"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服务承诺、优惠条件。</w:t>
            </w:r>
          </w:p>
        </w:tc>
        <w:tc>
          <w:tcPr>
            <w:tcW w:w="752" w:type="dxa"/>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924" w:type="dxa"/>
            <w:gridSpan w:val="4"/>
            <w:tcBorders>
              <w:right w:val="single" w:color="auto" w:sz="4" w:space="0"/>
            </w:tcBorders>
            <w:noWrap/>
            <w:vAlign w:val="center"/>
          </w:tcPr>
          <w:p>
            <w:pPr>
              <w:tabs>
                <w:tab w:val="left" w:pos="3830"/>
              </w:tabs>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ab/>
            </w:r>
            <w:r>
              <w:rPr>
                <w:rFonts w:hint="eastAsia" w:ascii="宋体" w:hAnsi="宋体" w:cs="宋体"/>
                <w:bCs/>
                <w:szCs w:val="21"/>
                <w:lang w:val="zh-CN"/>
              </w:rPr>
              <w:t>评审结果</w:t>
            </w:r>
          </w:p>
        </w:tc>
        <w:tc>
          <w:tcPr>
            <w:tcW w:w="75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FF"/>
                <w:szCs w:val="21"/>
                <w:lang w:val="zh-CN"/>
              </w:rPr>
            </w:pPr>
          </w:p>
        </w:tc>
      </w:tr>
    </w:tbl>
    <w:p>
      <w:pPr>
        <w:spacing w:line="360" w:lineRule="auto"/>
        <w:jc w:val="left"/>
        <w:rPr>
          <w:rFonts w:ascii="宋体" w:hAnsi="宋体" w:cs="宋体"/>
          <w:b/>
          <w:szCs w:val="21"/>
        </w:rPr>
      </w:pPr>
      <w:r>
        <w:rPr>
          <w:rFonts w:hint="eastAsia" w:ascii="宋体" w:hAnsi="宋体"/>
          <w:szCs w:val="21"/>
        </w:rPr>
        <w:t>注：每个评审项目合格打“√”，不合格打“×”。评审结论写“合格”或“不合格”。</w:t>
      </w:r>
    </w:p>
    <w:p>
      <w:pPr>
        <w:rPr>
          <w:rFonts w:ascii="宋体" w:hAnsi="宋体" w:cs="宋体"/>
          <w:b/>
          <w:szCs w:val="21"/>
        </w:rPr>
      </w:pPr>
      <w:r>
        <w:rPr>
          <w:rFonts w:hint="eastAsia" w:ascii="宋体" w:hAnsi="宋体" w:cs="宋体"/>
          <w:b/>
          <w:szCs w:val="21"/>
        </w:rPr>
        <w:t>2.2评标办法附表（二）</w:t>
      </w:r>
    </w:p>
    <w:tbl>
      <w:tblPr>
        <w:tblStyle w:val="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26"/>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条款号</w:t>
            </w:r>
          </w:p>
        </w:tc>
        <w:tc>
          <w:tcPr>
            <w:tcW w:w="192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评审因素</w:t>
            </w:r>
          </w:p>
        </w:tc>
        <w:tc>
          <w:tcPr>
            <w:tcW w:w="596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2.2.1</w:t>
            </w:r>
          </w:p>
        </w:tc>
        <w:tc>
          <w:tcPr>
            <w:tcW w:w="192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分值构成</w:t>
            </w: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(总分100分)</w:t>
            </w:r>
          </w:p>
        </w:tc>
        <w:tc>
          <w:tcPr>
            <w:tcW w:w="5962" w:type="dxa"/>
            <w:tcBorders>
              <w:top w:val="single" w:color="auto" w:sz="4" w:space="0"/>
              <w:left w:val="single" w:color="auto" w:sz="4" w:space="0"/>
              <w:bottom w:val="single" w:color="auto" w:sz="4" w:space="0"/>
              <w:right w:val="single" w:color="auto" w:sz="4" w:space="0"/>
            </w:tcBorders>
            <w:noWrap/>
            <w:vAlign w:val="center"/>
          </w:tcPr>
          <w:p>
            <w:pPr>
              <w:pStyle w:val="9"/>
            </w:pPr>
            <w:r>
              <w:rPr>
                <w:rFonts w:hint="eastAsia"/>
              </w:rPr>
              <w:t>投标报价评分：15分</w:t>
            </w:r>
          </w:p>
          <w:p>
            <w:pPr>
              <w:pStyle w:val="9"/>
            </w:pPr>
            <w:r>
              <w:rPr>
                <w:rFonts w:hint="eastAsia"/>
              </w:rPr>
              <w:t>资质条件及人力资源配置评分：5分</w:t>
            </w:r>
          </w:p>
          <w:p>
            <w:pPr>
              <w:pStyle w:val="9"/>
            </w:pPr>
            <w:r>
              <w:rPr>
                <w:rFonts w:hint="eastAsia"/>
              </w:rPr>
              <w:t>项目业绩评分：7分</w:t>
            </w:r>
          </w:p>
          <w:p>
            <w:pPr>
              <w:pStyle w:val="9"/>
            </w:pPr>
            <w:r>
              <w:rPr>
                <w:rFonts w:hint="eastAsia" w:ascii="宋体" w:hAnsi="宋体" w:cs="宋体"/>
                <w:bCs/>
                <w:szCs w:val="21"/>
                <w:lang w:val="zh-CN"/>
              </w:rPr>
              <w:t>质量管理评分</w:t>
            </w:r>
            <w:r>
              <w:rPr>
                <w:rFonts w:hint="eastAsia"/>
              </w:rPr>
              <w:t>：40分</w:t>
            </w:r>
          </w:p>
          <w:p>
            <w:pPr>
              <w:pStyle w:val="9"/>
            </w:pPr>
            <w:r>
              <w:rPr>
                <w:rFonts w:hint="eastAsia" w:ascii="宋体" w:hAnsi="宋体" w:cs="宋体"/>
                <w:bCs/>
                <w:szCs w:val="21"/>
                <w:lang w:val="zh-CN"/>
              </w:rPr>
              <w:t>工作方案评分</w:t>
            </w:r>
            <w:r>
              <w:rPr>
                <w:rFonts w:hint="eastAsia"/>
              </w:rPr>
              <w:t>：20分</w:t>
            </w:r>
          </w:p>
          <w:p>
            <w:pPr>
              <w:pStyle w:val="9"/>
            </w:pPr>
            <w:r>
              <w:rPr>
                <w:rFonts w:hint="eastAsia"/>
              </w:rPr>
              <w:t>信息安全评分：3分</w:t>
            </w:r>
          </w:p>
          <w:p>
            <w:pPr>
              <w:pStyle w:val="9"/>
            </w:pPr>
            <w:r>
              <w:rPr>
                <w:rFonts w:hint="eastAsia"/>
              </w:rPr>
              <w:t>财务状况评分：1分</w:t>
            </w:r>
          </w:p>
          <w:p>
            <w:pPr>
              <w:pStyle w:val="9"/>
            </w:pPr>
            <w:r>
              <w:rPr>
                <w:rFonts w:hint="eastAsia"/>
              </w:rPr>
              <w:t>风险管理评分：3分</w:t>
            </w:r>
          </w:p>
          <w:p>
            <w:pPr>
              <w:pStyle w:val="9"/>
            </w:pPr>
            <w:r>
              <w:rPr>
                <w:rFonts w:hint="eastAsia" w:ascii="宋体" w:hAnsi="宋体" w:cs="宋体"/>
                <w:bCs/>
                <w:szCs w:val="21"/>
                <w:lang w:val="zh-CN"/>
              </w:rPr>
              <w:t>服务承诺、优惠条件等其他因素评分：</w:t>
            </w:r>
            <w:r>
              <w:rPr>
                <w:rFonts w:hint="eastAsia" w:ascii="宋体" w:hAnsi="宋体" w:cs="宋体"/>
                <w:bCs/>
                <w:szCs w:val="21"/>
              </w:rPr>
              <w:t>6分</w:t>
            </w:r>
          </w:p>
        </w:tc>
      </w:tr>
    </w:tbl>
    <w:p>
      <w:pPr>
        <w:rPr>
          <w:rFonts w:ascii="宋体" w:hAnsi="宋体" w:cs="宋体"/>
          <w:b/>
          <w:szCs w:val="21"/>
        </w:rPr>
      </w:pPr>
      <w:r>
        <w:rPr>
          <w:rFonts w:hint="eastAsia" w:ascii="宋体" w:hAnsi="宋体" w:cs="宋体"/>
          <w:b/>
          <w:szCs w:val="21"/>
        </w:rPr>
        <w:t>详细评审评分标准</w:t>
      </w:r>
    </w:p>
    <w:tbl>
      <w:tblPr>
        <w:tblStyle w:val="6"/>
        <w:tblW w:w="9170" w:type="dxa"/>
        <w:tblInd w:w="0" w:type="dxa"/>
        <w:tblLayout w:type="fixed"/>
        <w:tblCellMar>
          <w:top w:w="0" w:type="dxa"/>
          <w:left w:w="108" w:type="dxa"/>
          <w:bottom w:w="0" w:type="dxa"/>
          <w:right w:w="108" w:type="dxa"/>
        </w:tblCellMar>
      </w:tblPr>
      <w:tblGrid>
        <w:gridCol w:w="880"/>
        <w:gridCol w:w="816"/>
        <w:gridCol w:w="1755"/>
        <w:gridCol w:w="739"/>
        <w:gridCol w:w="4980"/>
      </w:tblGrid>
      <w:tr>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lang w:bidi="km-KH"/>
              </w:rPr>
            </w:pPr>
            <w:r>
              <w:rPr>
                <w:rFonts w:hint="eastAsia" w:ascii="宋体" w:hAnsi="宋体" w:cs="宋体"/>
                <w:b/>
                <w:bCs/>
                <w:kern w:val="0"/>
                <w:lang w:bidi="km-KH"/>
              </w:rPr>
              <w:t>条款号</w:t>
            </w:r>
          </w:p>
        </w:tc>
        <w:tc>
          <w:tcPr>
            <w:tcW w:w="8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lang w:bidi="km-KH"/>
              </w:rPr>
            </w:pPr>
            <w:r>
              <w:rPr>
                <w:rFonts w:hint="eastAsia" w:ascii="宋体" w:hAnsi="宋体" w:cs="宋体"/>
                <w:kern w:val="0"/>
                <w:lang w:bidi="km-KH"/>
              </w:rPr>
              <w:t>项目</w:t>
            </w:r>
          </w:p>
        </w:tc>
        <w:tc>
          <w:tcPr>
            <w:tcW w:w="17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lang w:bidi="km-KH"/>
              </w:rPr>
            </w:pPr>
            <w:r>
              <w:rPr>
                <w:rFonts w:hint="eastAsia" w:ascii="宋体" w:hAnsi="宋体" w:cs="宋体"/>
                <w:kern w:val="0"/>
                <w:lang w:bidi="km-KH"/>
              </w:rPr>
              <w:t>评标分项</w:t>
            </w:r>
          </w:p>
        </w:tc>
        <w:tc>
          <w:tcPr>
            <w:tcW w:w="73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lang w:bidi="km-KH"/>
              </w:rPr>
            </w:pPr>
            <w:r>
              <w:rPr>
                <w:rFonts w:hint="eastAsia" w:ascii="宋体" w:hAnsi="宋体" w:cs="宋体"/>
                <w:kern w:val="0"/>
                <w:lang w:bidi="km-KH"/>
              </w:rPr>
              <w:t>分值</w:t>
            </w:r>
          </w:p>
        </w:tc>
        <w:tc>
          <w:tcPr>
            <w:tcW w:w="49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lang w:bidi="km-KH"/>
              </w:rPr>
            </w:pPr>
            <w:r>
              <w:rPr>
                <w:rFonts w:hint="eastAsia" w:ascii="宋体" w:hAnsi="宋体" w:cs="宋体"/>
                <w:kern w:val="0"/>
                <w:lang w:bidi="km-KH"/>
              </w:rPr>
              <w:t>子项目及分值</w:t>
            </w:r>
          </w:p>
        </w:tc>
      </w:tr>
      <w:tr>
        <w:tblPrEx>
          <w:tblCellMar>
            <w:top w:w="0" w:type="dxa"/>
            <w:left w:w="108" w:type="dxa"/>
            <w:bottom w:w="0" w:type="dxa"/>
            <w:right w:w="108" w:type="dxa"/>
          </w:tblCellMar>
        </w:tblPrEx>
        <w:trPr>
          <w:trHeight w:val="2208"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2.2.2（1）</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投标价格评分标准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投标报价</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15</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1、评审基准价为所有通过初步评审合格的有效投标价人投标报价的平均值。</w:t>
            </w:r>
          </w:p>
          <w:p>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2、有效投标人高于5家的（不含5家），去掉一个最高报价，去掉一个最低报价，进行平均值计算。（保留两位小数）</w:t>
            </w:r>
          </w:p>
          <w:p>
            <w:pPr>
              <w:autoSpaceDE w:val="0"/>
              <w:autoSpaceDN w:val="0"/>
              <w:adjustRightInd w:val="0"/>
              <w:spacing w:line="360" w:lineRule="auto"/>
              <w:jc w:val="left"/>
              <w:rPr>
                <w:rFonts w:ascii="宋体" w:hAnsi="宋体" w:cs="宋体"/>
                <w:lang w:val="zh-CN"/>
              </w:rPr>
            </w:pPr>
            <w:r>
              <w:rPr>
                <w:rFonts w:hint="eastAsia" w:ascii="宋体" w:hAnsi="宋体" w:cs="宋体"/>
                <w:bCs/>
                <w:szCs w:val="21"/>
                <w:lang w:val="zh-CN"/>
              </w:rPr>
              <w:t>价格得分=（1-丨评审基准价-投标报价丨/评审基准价）×投标报价要素所占权重分值。</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2</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项目业绩评分标准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类似项目业绩</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7</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近3年完成同类（上市公司年度财务审计）或类似项目业绩，每项业绩1分，未提供此项0分。须提供合同首页及尾页</w:t>
            </w:r>
            <w:r>
              <w:rPr>
                <w:rFonts w:hint="eastAsia" w:ascii="宋体" w:hAnsi="宋体" w:cs="宋体"/>
                <w:bCs/>
                <w:szCs w:val="21"/>
              </w:rPr>
              <w:t>复印件</w:t>
            </w:r>
            <w:r>
              <w:rPr>
                <w:rFonts w:hint="eastAsia" w:ascii="宋体" w:hAnsi="宋体" w:cs="宋体"/>
                <w:bCs/>
                <w:szCs w:val="21"/>
                <w:lang w:val="zh-CN"/>
              </w:rPr>
              <w:t>加盖公章。</w:t>
            </w:r>
          </w:p>
        </w:tc>
      </w:tr>
      <w:tr>
        <w:tblPrEx>
          <w:tblCellMar>
            <w:top w:w="0" w:type="dxa"/>
            <w:left w:w="108" w:type="dxa"/>
            <w:bottom w:w="0" w:type="dxa"/>
            <w:right w:w="108" w:type="dxa"/>
          </w:tblCellMar>
        </w:tblPrEx>
        <w:trPr>
          <w:trHeight w:val="1449"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3</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szCs w:val="24"/>
                <w:lang w:val="zh-CN"/>
              </w:rPr>
              <w:t>企业实力评分标准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szCs w:val="24"/>
                <w:lang w:val="zh-CN"/>
              </w:rPr>
              <w:t>资质条件及人力资源配置</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5</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人力配置及资质条件最好得4-5分，较好得2-3分，一般得1分，未提供此项得0分。须提供会计师事务所信息一览表、相关资质复印件。</w:t>
            </w:r>
          </w:p>
        </w:tc>
      </w:tr>
      <w:tr>
        <w:tblPrEx>
          <w:tblCellMar>
            <w:top w:w="0" w:type="dxa"/>
            <w:left w:w="108" w:type="dxa"/>
            <w:bottom w:w="0" w:type="dxa"/>
            <w:right w:w="108" w:type="dxa"/>
          </w:tblCellMar>
        </w:tblPrEx>
        <w:trPr>
          <w:trHeight w:val="274"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4</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szCs w:val="24"/>
                <w:lang w:val="zh-CN"/>
              </w:rPr>
              <w:t>质量管理评分标准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lang w:val="zh-CN"/>
              </w:rPr>
              <w:t>质量管理水平</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40</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质量管理水平优异，得38-40分；质量管理水平优良，得35-37分；质量管理水平一般，得30-34分；会计师事务所近3年有1个以上审计项目正被立案调查的再减5分；会计师事务所近3年因执业质量有1次以上行政处罚的再减10分；未提供此项0分。重点评价质量管理制度，包括项目咨询、意见分歧解决、项目质量复核、项目质量检查、质量管理缺陷识别与整改等方面的政策与程序。</w:t>
            </w:r>
          </w:p>
        </w:tc>
      </w:tr>
      <w:tr>
        <w:tblPrEx>
          <w:tblCellMar>
            <w:top w:w="0" w:type="dxa"/>
            <w:left w:w="108" w:type="dxa"/>
            <w:bottom w:w="0" w:type="dxa"/>
            <w:right w:w="108" w:type="dxa"/>
          </w:tblCellMar>
        </w:tblPrEx>
        <w:trPr>
          <w:trHeight w:val="1722"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5</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szCs w:val="24"/>
                <w:lang w:val="zh-CN"/>
              </w:rPr>
              <w:t>工作方案评分标准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工作方案</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20</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针对本项目提供完整、合理、可行的工作方案，方案包括服务团队配置等方面，优得17-20分，良好得</w:t>
            </w:r>
            <w:r>
              <w:rPr>
                <w:rFonts w:hint="eastAsia" w:ascii="宋体" w:hAnsi="宋体" w:cs="宋体"/>
                <w:bCs/>
                <w:szCs w:val="21"/>
              </w:rPr>
              <w:t>14-16</w:t>
            </w:r>
            <w:r>
              <w:rPr>
                <w:rFonts w:hint="eastAsia" w:ascii="宋体" w:hAnsi="宋体" w:cs="宋体"/>
                <w:bCs/>
                <w:szCs w:val="21"/>
                <w:lang w:val="zh-CN"/>
              </w:rPr>
              <w:t>分；一般得</w:t>
            </w:r>
            <w:r>
              <w:rPr>
                <w:rFonts w:hint="eastAsia" w:ascii="宋体" w:hAnsi="宋体" w:cs="宋体"/>
                <w:bCs/>
                <w:szCs w:val="21"/>
              </w:rPr>
              <w:t>10-13分</w:t>
            </w:r>
            <w:r>
              <w:rPr>
                <w:rFonts w:hint="eastAsia" w:ascii="宋体" w:hAnsi="宋体" w:cs="宋体"/>
                <w:bCs/>
                <w:szCs w:val="21"/>
                <w:lang w:val="zh-CN"/>
              </w:rPr>
              <w:t>；未提供此项得0分。</w:t>
            </w:r>
          </w:p>
        </w:tc>
      </w:tr>
      <w:tr>
        <w:tblPrEx>
          <w:tblCellMar>
            <w:top w:w="0" w:type="dxa"/>
            <w:left w:w="108" w:type="dxa"/>
            <w:bottom w:w="0" w:type="dxa"/>
            <w:right w:w="108" w:type="dxa"/>
          </w:tblCellMar>
        </w:tblPrEx>
        <w:trPr>
          <w:trHeight w:val="535"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6</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szCs w:val="24"/>
                <w:lang w:val="zh-CN"/>
              </w:rPr>
              <w:t>信息安全评分标准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信息安全管理</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3</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针对本项目提供信息安全保障措施，充分保证我公司信息安全，对涉密敏感信息的管控措施有效，能够确保防范信息泄露，得3分；能够承诺保证我公司信息安全，对涉密敏感信息的管控措施方法一般，认真落实监管部门对信息安全的监管要求。得1-2分；信息安全措施不充分，管理措施漏洞较多不得分。</w:t>
            </w:r>
          </w:p>
        </w:tc>
      </w:tr>
      <w:tr>
        <w:tblPrEx>
          <w:tblCellMar>
            <w:top w:w="0" w:type="dxa"/>
            <w:left w:w="108" w:type="dxa"/>
            <w:bottom w:w="0" w:type="dxa"/>
            <w:right w:w="108" w:type="dxa"/>
          </w:tblCellMar>
        </w:tblPrEx>
        <w:trPr>
          <w:trHeight w:val="535" w:hRule="atLeast"/>
        </w:trPr>
        <w:tc>
          <w:tcPr>
            <w:tcW w:w="880" w:type="dxa"/>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7</w:t>
            </w:r>
            <w:r>
              <w:rPr>
                <w:rFonts w:hint="eastAsia" w:ascii="宋体" w:hAnsi="宋体" w:cs="宋体"/>
                <w:lang w:val="zh-CN"/>
              </w:rPr>
              <w:t>）</w:t>
            </w:r>
          </w:p>
        </w:tc>
        <w:tc>
          <w:tcPr>
            <w:tcW w:w="816"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szCs w:val="24"/>
                <w:lang w:val="zh-CN"/>
              </w:rPr>
              <w:t>财务状况评分标准</w:t>
            </w:r>
          </w:p>
        </w:tc>
        <w:tc>
          <w:tcPr>
            <w:tcW w:w="1755"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财务状况</w:t>
            </w:r>
          </w:p>
        </w:tc>
        <w:tc>
          <w:tcPr>
            <w:tcW w:w="739"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1</w:t>
            </w:r>
          </w:p>
        </w:tc>
        <w:tc>
          <w:tcPr>
            <w:tcW w:w="4980" w:type="dxa"/>
            <w:tcBorders>
              <w:top w:val="nil"/>
              <w:left w:val="nil"/>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财务状况良好得1分，亏损或未提供此项得0分。须提供近</w:t>
            </w:r>
            <w:r>
              <w:rPr>
                <w:rFonts w:hint="eastAsia" w:ascii="宋体" w:hAnsi="宋体" w:cs="宋体"/>
                <w:bCs/>
                <w:szCs w:val="21"/>
              </w:rPr>
              <w:t>3年财务报表</w:t>
            </w:r>
            <w:r>
              <w:rPr>
                <w:rFonts w:hint="eastAsia" w:ascii="宋体" w:hAnsi="宋体" w:cs="宋体"/>
                <w:bCs/>
                <w:szCs w:val="21"/>
                <w:lang w:val="zh-CN"/>
              </w:rPr>
              <w:t>。</w:t>
            </w:r>
          </w:p>
        </w:tc>
      </w:tr>
      <w:tr>
        <w:tblPrEx>
          <w:tblCellMar>
            <w:top w:w="0" w:type="dxa"/>
            <w:left w:w="108" w:type="dxa"/>
            <w:bottom w:w="0" w:type="dxa"/>
            <w:right w:w="108" w:type="dxa"/>
          </w:tblCellMar>
        </w:tblPrEx>
        <w:trPr>
          <w:trHeight w:val="535"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tabs>
                <w:tab w:val="left" w:pos="458"/>
              </w:tabs>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8</w:t>
            </w:r>
            <w:r>
              <w:rPr>
                <w:rFonts w:hint="eastAsia" w:ascii="宋体" w:hAnsi="宋体" w:cs="宋体"/>
                <w:lang w:val="zh-CN"/>
              </w:rPr>
              <w:t>）</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szCs w:val="24"/>
                <w:lang w:val="zh-CN"/>
              </w:rPr>
              <w:t>风险管理评分标准</w:t>
            </w:r>
          </w:p>
        </w:tc>
        <w:tc>
          <w:tcPr>
            <w:tcW w:w="17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风险承担能力</w:t>
            </w:r>
          </w:p>
        </w:tc>
        <w:tc>
          <w:tcPr>
            <w:tcW w:w="73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3</w:t>
            </w:r>
          </w:p>
        </w:tc>
        <w:tc>
          <w:tcPr>
            <w:tcW w:w="49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针对本项目提供风险承担能力相关材料，投标单位风险承担能力高得3分，风险承担能力一般得2分，风险承担能力低得0分。</w:t>
            </w:r>
          </w:p>
        </w:tc>
      </w:tr>
      <w:tr>
        <w:tblPrEx>
          <w:tblCellMar>
            <w:top w:w="0" w:type="dxa"/>
            <w:left w:w="108" w:type="dxa"/>
            <w:bottom w:w="0" w:type="dxa"/>
            <w:right w:w="108" w:type="dxa"/>
          </w:tblCellMar>
        </w:tblPrEx>
        <w:trPr>
          <w:trHeight w:val="535" w:hRule="atLeast"/>
        </w:trPr>
        <w:tc>
          <w:tcPr>
            <w:tcW w:w="880" w:type="dxa"/>
            <w:vMerge w:val="restart"/>
            <w:tcBorders>
              <w:top w:val="single" w:color="auto" w:sz="4" w:space="0"/>
              <w:left w:val="single" w:color="auto" w:sz="4" w:space="0"/>
              <w:right w:val="single" w:color="auto" w:sz="4" w:space="0"/>
            </w:tcBorders>
            <w:noWrap/>
            <w:vAlign w:val="center"/>
          </w:tcPr>
          <w:p>
            <w:pPr>
              <w:tabs>
                <w:tab w:val="left" w:pos="458"/>
              </w:tabs>
              <w:autoSpaceDE w:val="0"/>
              <w:autoSpaceDN w:val="0"/>
              <w:adjustRightInd w:val="0"/>
              <w:spacing w:line="360" w:lineRule="auto"/>
              <w:jc w:val="center"/>
              <w:rPr>
                <w:rFonts w:ascii="宋体" w:hAnsi="宋体" w:cs="宋体"/>
                <w:lang w:val="zh-CN"/>
              </w:rPr>
            </w:pPr>
            <w:r>
              <w:rPr>
                <w:rFonts w:hint="eastAsia" w:ascii="宋体" w:hAnsi="宋体" w:cs="宋体"/>
                <w:lang w:val="zh-CN"/>
              </w:rPr>
              <w:t>2.2.2（</w:t>
            </w:r>
            <w:r>
              <w:rPr>
                <w:rFonts w:hint="eastAsia" w:ascii="宋体" w:hAnsi="宋体" w:cs="宋体"/>
              </w:rPr>
              <w:t>9</w:t>
            </w:r>
            <w:r>
              <w:rPr>
                <w:rFonts w:hint="eastAsia" w:ascii="宋体" w:hAnsi="宋体" w:cs="宋体"/>
                <w:lang w:val="zh-CN"/>
              </w:rPr>
              <w:t>）</w:t>
            </w:r>
          </w:p>
        </w:tc>
        <w:tc>
          <w:tcPr>
            <w:tcW w:w="816"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r>
              <w:rPr>
                <w:rFonts w:hint="eastAsia" w:ascii="宋体" w:hAnsi="宋体" w:cs="宋体"/>
                <w:bCs/>
                <w:szCs w:val="21"/>
                <w:lang w:val="zh-CN"/>
              </w:rPr>
              <w:t>其他因素评分标准</w:t>
            </w:r>
          </w:p>
        </w:tc>
        <w:tc>
          <w:tcPr>
            <w:tcW w:w="17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bCs/>
                <w:szCs w:val="21"/>
                <w:lang w:val="zh-CN"/>
              </w:rPr>
              <w:t>服务承诺</w:t>
            </w:r>
          </w:p>
        </w:tc>
        <w:tc>
          <w:tcPr>
            <w:tcW w:w="73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3</w:t>
            </w:r>
          </w:p>
        </w:tc>
        <w:tc>
          <w:tcPr>
            <w:tcW w:w="49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可接受的合理服务承诺综合比较，提供相关材料，承诺我公司可以无条件查阅使用审计底稿的得3分，有条件查阅使用的得2分，能查阅不能使用的得1分，未提供承诺的不得分</w:t>
            </w:r>
            <w:r>
              <w:rPr>
                <w:rFonts w:hint="eastAsia" w:ascii="宋体" w:hAnsi="宋体" w:cs="宋体"/>
                <w:bCs/>
                <w:szCs w:val="21"/>
              </w:rPr>
              <w:t>。</w:t>
            </w:r>
          </w:p>
        </w:tc>
      </w:tr>
      <w:tr>
        <w:tblPrEx>
          <w:tblCellMar>
            <w:top w:w="0" w:type="dxa"/>
            <w:left w:w="108" w:type="dxa"/>
            <w:bottom w:w="0" w:type="dxa"/>
            <w:right w:w="108" w:type="dxa"/>
          </w:tblCellMar>
        </w:tblPrEx>
        <w:trPr>
          <w:trHeight w:val="535" w:hRule="atLeast"/>
        </w:trPr>
        <w:tc>
          <w:tcPr>
            <w:tcW w:w="880" w:type="dxa"/>
            <w:vMerge w:val="continue"/>
            <w:tcBorders>
              <w:left w:val="single" w:color="auto" w:sz="4" w:space="0"/>
              <w:bottom w:val="single" w:color="auto" w:sz="4" w:space="0"/>
              <w:right w:val="single" w:color="auto" w:sz="4" w:space="0"/>
            </w:tcBorders>
            <w:noWrap/>
            <w:vAlign w:val="center"/>
          </w:tcPr>
          <w:p>
            <w:pPr>
              <w:tabs>
                <w:tab w:val="left" w:pos="458"/>
              </w:tabs>
              <w:autoSpaceDE w:val="0"/>
              <w:autoSpaceDN w:val="0"/>
              <w:adjustRightInd w:val="0"/>
              <w:spacing w:line="360" w:lineRule="auto"/>
              <w:jc w:val="center"/>
              <w:rPr>
                <w:rFonts w:ascii="宋体" w:hAnsi="宋体" w:cs="宋体"/>
                <w:lang w:val="zh-CN"/>
              </w:rPr>
            </w:pPr>
          </w:p>
        </w:tc>
        <w:tc>
          <w:tcPr>
            <w:tcW w:w="816" w:type="dxa"/>
            <w:vMerge w:val="continue"/>
            <w:tcBorders>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szCs w:val="24"/>
                <w:lang w:val="zh-CN"/>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优惠条件</w:t>
            </w:r>
          </w:p>
        </w:tc>
        <w:tc>
          <w:tcPr>
            <w:tcW w:w="73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3</w:t>
            </w:r>
          </w:p>
        </w:tc>
        <w:tc>
          <w:tcPr>
            <w:tcW w:w="49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可接受的合理优惠条件综合比较，提供相关材料，每项优惠条件得1分，未提供的不得分。</w:t>
            </w:r>
          </w:p>
        </w:tc>
      </w:tr>
    </w:tbl>
    <w:p>
      <w:pPr>
        <w:autoSpaceDE w:val="0"/>
        <w:autoSpaceDN w:val="0"/>
        <w:adjustRightInd w:val="0"/>
        <w:spacing w:line="360" w:lineRule="auto"/>
        <w:jc w:val="left"/>
        <w:rPr>
          <w:rFonts w:ascii="宋体" w:hAnsi="宋体" w:cs="宋体"/>
          <w:b/>
          <w:bCs/>
          <w:szCs w:val="21"/>
          <w:lang w:val="zh-CN"/>
        </w:rPr>
      </w:pPr>
      <w:r>
        <w:rPr>
          <w:rFonts w:ascii="宋体" w:hAnsi="宋体" w:cs="宋体"/>
          <w:b/>
          <w:bCs/>
          <w:szCs w:val="21"/>
          <w:lang w:val="zh-CN"/>
        </w:rPr>
        <w:t>1.</w:t>
      </w:r>
      <w:r>
        <w:rPr>
          <w:rFonts w:hint="eastAsia" w:ascii="宋体" w:hAnsi="宋体" w:cs="宋体"/>
          <w:b/>
          <w:bCs/>
          <w:szCs w:val="21"/>
          <w:lang w:val="zh-CN"/>
        </w:rPr>
        <w:t xml:space="preserve">评标方法 </w:t>
      </w:r>
    </w:p>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本次评标采用</w:t>
      </w:r>
      <w:r>
        <w:rPr>
          <w:rFonts w:hint="eastAsia" w:ascii="宋体" w:hAnsi="宋体" w:cs="宋体"/>
          <w:bCs/>
          <w:szCs w:val="21"/>
          <w:lang w:val="zh-CN"/>
        </w:rPr>
        <w:t>综合评估法</w:t>
      </w:r>
      <w:r>
        <w:rPr>
          <w:rFonts w:hint="eastAsia" w:ascii="宋体" w:hAnsi="宋体" w:cs="宋体"/>
          <w:szCs w:val="21"/>
          <w:lang w:val="zh-CN"/>
        </w:rPr>
        <w:t>。评标委员会对满足招标文件实质性要求的响应文件，按照本章第2.2款规定的评审标准，评标委员会按照得分由高到低的顺序推荐中标候选人。</w:t>
      </w:r>
    </w:p>
    <w:p>
      <w:pPr>
        <w:autoSpaceDE w:val="0"/>
        <w:autoSpaceDN w:val="0"/>
        <w:adjustRightInd w:val="0"/>
        <w:spacing w:line="360" w:lineRule="auto"/>
        <w:jc w:val="left"/>
        <w:rPr>
          <w:rFonts w:ascii="宋体" w:hAnsi="宋体" w:cs="宋体"/>
          <w:b/>
          <w:bCs/>
          <w:szCs w:val="21"/>
          <w:lang w:val="zh-CN"/>
        </w:rPr>
      </w:pPr>
      <w:r>
        <w:rPr>
          <w:rFonts w:ascii="宋体" w:hAnsi="宋体" w:cs="宋体"/>
          <w:b/>
          <w:bCs/>
          <w:szCs w:val="21"/>
          <w:lang w:val="zh-CN"/>
        </w:rPr>
        <w:t>2.</w:t>
      </w:r>
      <w:r>
        <w:rPr>
          <w:rFonts w:hint="eastAsia" w:ascii="宋体" w:hAnsi="宋体" w:cs="宋体"/>
          <w:b/>
          <w:bCs/>
          <w:szCs w:val="21"/>
          <w:lang w:val="zh-CN"/>
        </w:rPr>
        <w:t>评审标准</w:t>
      </w:r>
    </w:p>
    <w:p>
      <w:pPr>
        <w:autoSpaceDE w:val="0"/>
        <w:autoSpaceDN w:val="0"/>
        <w:adjustRightInd w:val="0"/>
        <w:spacing w:line="360" w:lineRule="auto"/>
        <w:jc w:val="left"/>
        <w:rPr>
          <w:rFonts w:ascii="宋体" w:hAnsi="宋体" w:cs="宋体"/>
          <w:bCs/>
          <w:szCs w:val="21"/>
          <w:lang w:val="zh-CN"/>
        </w:rPr>
      </w:pPr>
      <w:r>
        <w:rPr>
          <w:rFonts w:ascii="宋体" w:hAnsi="宋体" w:cs="宋体"/>
          <w:bCs/>
          <w:szCs w:val="21"/>
          <w:lang w:val="zh-CN"/>
        </w:rPr>
        <w:t>2.1</w:t>
      </w:r>
      <w:r>
        <w:rPr>
          <w:rFonts w:hint="eastAsia" w:ascii="宋体" w:hAnsi="宋体" w:cs="宋体"/>
          <w:bCs/>
          <w:szCs w:val="21"/>
          <w:lang w:val="zh-CN"/>
        </w:rPr>
        <w:t>初步评审标准</w:t>
      </w:r>
    </w:p>
    <w:p>
      <w:pPr>
        <w:autoSpaceDE w:val="0"/>
        <w:autoSpaceDN w:val="0"/>
        <w:adjustRightInd w:val="0"/>
        <w:spacing w:line="360" w:lineRule="auto"/>
        <w:jc w:val="left"/>
        <w:rPr>
          <w:rFonts w:ascii="宋体" w:hAnsi="宋体" w:cs="宋体"/>
          <w:szCs w:val="21"/>
          <w:lang w:val="zh-CN"/>
        </w:rPr>
      </w:pPr>
      <w:r>
        <w:rPr>
          <w:rFonts w:ascii="宋体" w:hAnsi="宋体" w:cs="宋体"/>
          <w:szCs w:val="21"/>
          <w:lang w:val="zh-CN"/>
        </w:rPr>
        <w:t xml:space="preserve">    2.1.1</w:t>
      </w:r>
      <w:r>
        <w:rPr>
          <w:rFonts w:hint="eastAsia" w:ascii="宋体" w:hAnsi="宋体" w:cs="宋体"/>
          <w:szCs w:val="21"/>
          <w:lang w:val="zh-CN"/>
        </w:rPr>
        <w:t xml:space="preserve"> 形式评审标准</w:t>
      </w:r>
      <w:r>
        <w:rPr>
          <w:rFonts w:ascii="宋体" w:hAnsi="宋体" w:cs="宋体"/>
          <w:szCs w:val="21"/>
          <w:lang w:val="zh-CN"/>
        </w:rPr>
        <w:t>:</w:t>
      </w:r>
      <w:r>
        <w:rPr>
          <w:rFonts w:hint="eastAsia" w:ascii="宋体" w:hAnsi="宋体" w:cs="宋体"/>
          <w:szCs w:val="21"/>
          <w:lang w:val="zh-CN"/>
        </w:rPr>
        <w:t>见评标办法附表一。</w:t>
      </w:r>
    </w:p>
    <w:p>
      <w:pPr>
        <w:autoSpaceDE w:val="0"/>
        <w:autoSpaceDN w:val="0"/>
        <w:adjustRightInd w:val="0"/>
        <w:spacing w:line="360" w:lineRule="auto"/>
        <w:ind w:firstLine="420"/>
        <w:jc w:val="left"/>
        <w:rPr>
          <w:rFonts w:ascii="宋体" w:hAnsi="宋体" w:cs="宋体"/>
          <w:szCs w:val="21"/>
          <w:lang w:val="zh-CN"/>
        </w:rPr>
      </w:pPr>
      <w:r>
        <w:rPr>
          <w:rFonts w:ascii="宋体" w:hAnsi="宋体" w:cs="宋体"/>
          <w:szCs w:val="21"/>
          <w:lang w:val="zh-CN"/>
        </w:rPr>
        <w:t>2.1</w:t>
      </w: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 xml:space="preserve"> 资格评审标准</w:t>
      </w:r>
      <w:r>
        <w:rPr>
          <w:rFonts w:ascii="宋体" w:hAnsi="宋体" w:cs="宋体"/>
          <w:szCs w:val="21"/>
          <w:lang w:val="zh-CN"/>
        </w:rPr>
        <w:t>:</w:t>
      </w:r>
      <w:r>
        <w:rPr>
          <w:rFonts w:hint="eastAsia" w:ascii="宋体" w:hAnsi="宋体" w:cs="宋体"/>
          <w:szCs w:val="21"/>
          <w:lang w:val="zh-CN"/>
        </w:rPr>
        <w:t>见评标办法附表一。</w:t>
      </w:r>
    </w:p>
    <w:p>
      <w:pPr>
        <w:autoSpaceDE w:val="0"/>
        <w:autoSpaceDN w:val="0"/>
        <w:adjustRightInd w:val="0"/>
        <w:spacing w:line="360" w:lineRule="auto"/>
        <w:ind w:firstLine="420"/>
        <w:jc w:val="left"/>
        <w:rPr>
          <w:rFonts w:ascii="宋体" w:hAnsi="宋体" w:cs="宋体"/>
          <w:szCs w:val="21"/>
          <w:lang w:val="zh-CN"/>
        </w:rPr>
      </w:pPr>
      <w:r>
        <w:rPr>
          <w:rFonts w:hint="eastAsia" w:ascii="宋体" w:hAnsi="宋体" w:cs="宋体"/>
          <w:szCs w:val="21"/>
          <w:lang w:val="zh-CN"/>
        </w:rPr>
        <w:t>2.1.3 响应性评审标准：见评标办法附表一。</w:t>
      </w:r>
    </w:p>
    <w:p>
      <w:pPr>
        <w:autoSpaceDE w:val="0"/>
        <w:autoSpaceDN w:val="0"/>
        <w:adjustRightInd w:val="0"/>
        <w:spacing w:line="360" w:lineRule="auto"/>
        <w:jc w:val="left"/>
        <w:rPr>
          <w:rFonts w:ascii="宋体" w:hAnsi="宋体" w:cs="宋体"/>
          <w:bCs/>
          <w:szCs w:val="21"/>
          <w:lang w:val="zh-CN"/>
        </w:rPr>
      </w:pPr>
      <w:r>
        <w:rPr>
          <w:rFonts w:ascii="宋体" w:hAnsi="宋体" w:cs="宋体"/>
          <w:bCs/>
          <w:szCs w:val="21"/>
          <w:lang w:val="zh-CN"/>
        </w:rPr>
        <w:t>2.2</w:t>
      </w:r>
      <w:r>
        <w:rPr>
          <w:rFonts w:hint="eastAsia" w:ascii="宋体" w:hAnsi="宋体" w:cs="宋体"/>
          <w:bCs/>
          <w:szCs w:val="21"/>
          <w:lang w:val="zh-CN"/>
        </w:rPr>
        <w:t xml:space="preserve"> 分值构成与评分标准</w:t>
      </w:r>
    </w:p>
    <w:p>
      <w:pPr>
        <w:autoSpaceDE w:val="0"/>
        <w:autoSpaceDN w:val="0"/>
        <w:adjustRightInd w:val="0"/>
        <w:spacing w:line="360" w:lineRule="auto"/>
        <w:ind w:firstLine="420"/>
        <w:jc w:val="left"/>
        <w:rPr>
          <w:rFonts w:ascii="宋体" w:hAnsi="宋体" w:cs="宋体"/>
          <w:szCs w:val="21"/>
          <w:lang w:val="zh-CN"/>
        </w:rPr>
      </w:pPr>
      <w:r>
        <w:rPr>
          <w:rFonts w:hint="eastAsia" w:ascii="宋体" w:hAnsi="宋体" w:cs="宋体"/>
          <w:szCs w:val="21"/>
          <w:lang w:val="zh-CN"/>
        </w:rPr>
        <w:t>2.2.1 分值构成</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w:t>
      </w:r>
      <w:r>
        <w:rPr>
          <w:rFonts w:hint="eastAsia"/>
        </w:rPr>
        <w:t>投标报价评分：15分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rPr>
        <w:t>项目业绩评分：7分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）资质条件及</w:t>
      </w:r>
      <w:r>
        <w:rPr>
          <w:rFonts w:hint="eastAsia"/>
        </w:rPr>
        <w:t>人力资源配置评分：5分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bCs/>
          <w:szCs w:val="21"/>
          <w:lang w:val="zh-CN"/>
        </w:rPr>
        <w:t>质量管理评分</w:t>
      </w:r>
      <w:r>
        <w:rPr>
          <w:rFonts w:hint="eastAsia"/>
        </w:rPr>
        <w:t>：40分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w:t>
      </w:r>
      <w:r>
        <w:rPr>
          <w:rFonts w:hint="eastAsia" w:ascii="宋体" w:hAnsi="宋体" w:cs="宋体"/>
          <w:bCs/>
          <w:szCs w:val="21"/>
          <w:lang w:val="zh-CN"/>
        </w:rPr>
        <w:t>工作方案评分</w:t>
      </w:r>
      <w:r>
        <w:rPr>
          <w:rFonts w:hint="eastAsia"/>
        </w:rPr>
        <w:t>：20分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rPr>
        <w:t>信息安全评分：3分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w:t>
      </w:r>
      <w:r>
        <w:rPr>
          <w:rFonts w:hint="eastAsia"/>
        </w:rPr>
        <w:t>财务状况评分：1分</w:t>
      </w:r>
    </w:p>
    <w:p>
      <w:pPr>
        <w:pStyle w:val="9"/>
        <w:autoSpaceDE w:val="0"/>
        <w:autoSpaceDN w:val="0"/>
        <w:adjustRightInd w:val="0"/>
        <w:spacing w:line="360" w:lineRule="auto"/>
        <w:jc w:val="left"/>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w:t>
      </w:r>
      <w:r>
        <w:rPr>
          <w:rFonts w:hint="eastAsia"/>
        </w:rPr>
        <w:t>风险管理评分：3分</w:t>
      </w:r>
    </w:p>
    <w:p>
      <w:pPr>
        <w:autoSpaceDE w:val="0"/>
        <w:autoSpaceDN w:val="0"/>
        <w:adjustRightInd w:val="0"/>
        <w:spacing w:line="360" w:lineRule="auto"/>
        <w:ind w:firstLine="42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w:t>
      </w:r>
      <w:r>
        <w:rPr>
          <w:rFonts w:hint="eastAsia" w:ascii="宋体" w:hAnsi="宋体" w:cs="宋体"/>
          <w:bCs/>
          <w:szCs w:val="21"/>
          <w:lang w:val="zh-CN"/>
        </w:rPr>
        <w:t>其他因素评分：</w:t>
      </w:r>
      <w:r>
        <w:rPr>
          <w:rFonts w:hint="eastAsia" w:ascii="宋体" w:hAnsi="宋体" w:cs="宋体"/>
          <w:bCs/>
          <w:szCs w:val="21"/>
        </w:rPr>
        <w:t>6分</w:t>
      </w:r>
    </w:p>
    <w:p>
      <w:pPr>
        <w:autoSpaceDE w:val="0"/>
        <w:autoSpaceDN w:val="0"/>
        <w:adjustRightInd w:val="0"/>
        <w:spacing w:line="360" w:lineRule="auto"/>
        <w:ind w:firstLine="420"/>
        <w:jc w:val="left"/>
        <w:rPr>
          <w:rFonts w:ascii="宋体" w:hAnsi="宋体" w:cs="宋体"/>
          <w:szCs w:val="21"/>
          <w:lang w:val="zh-CN"/>
        </w:rPr>
      </w:pPr>
      <w:r>
        <w:rPr>
          <w:rFonts w:hint="eastAsia" w:ascii="宋体" w:hAnsi="宋体" w:cs="宋体"/>
          <w:szCs w:val="21"/>
          <w:lang w:val="zh-CN"/>
        </w:rPr>
        <w:t>2.2.2 评标基准价计算</w:t>
      </w:r>
    </w:p>
    <w:p>
      <w:pPr>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评标基准价计算方法</w:t>
      </w:r>
      <w:r>
        <w:rPr>
          <w:rFonts w:ascii="宋体" w:hAnsi="宋体" w:cs="宋体"/>
          <w:szCs w:val="21"/>
          <w:lang w:val="zh-CN"/>
        </w:rPr>
        <w:t>:</w:t>
      </w:r>
      <w:r>
        <w:rPr>
          <w:rFonts w:hint="eastAsia" w:ascii="宋体" w:hAnsi="宋体" w:cs="宋体"/>
          <w:szCs w:val="21"/>
          <w:lang w:val="zh-CN"/>
        </w:rPr>
        <w:t>见评标办法附表二。</w:t>
      </w:r>
    </w:p>
    <w:p>
      <w:pPr>
        <w:autoSpaceDE w:val="0"/>
        <w:autoSpaceDN w:val="0"/>
        <w:adjustRightInd w:val="0"/>
        <w:spacing w:line="360" w:lineRule="auto"/>
        <w:jc w:val="left"/>
        <w:rPr>
          <w:rFonts w:ascii="宋体" w:hAnsi="宋体" w:cs="宋体"/>
          <w:szCs w:val="21"/>
          <w:lang w:val="zh-CN"/>
        </w:rPr>
      </w:pPr>
      <w:r>
        <w:rPr>
          <w:rFonts w:ascii="宋体" w:hAnsi="宋体" w:cs="宋体"/>
          <w:szCs w:val="21"/>
          <w:lang w:val="zh-CN"/>
        </w:rPr>
        <w:t xml:space="preserve">    2</w:t>
      </w:r>
      <w:r>
        <w:rPr>
          <w:rFonts w:hint="eastAsia" w:ascii="宋体" w:hAnsi="宋体" w:cs="宋体"/>
          <w:szCs w:val="21"/>
          <w:lang w:val="zh-CN"/>
        </w:rPr>
        <w:t>.2.</w:t>
      </w:r>
      <w:r>
        <w:rPr>
          <w:rFonts w:hint="eastAsia" w:ascii="宋体" w:hAnsi="宋体" w:cs="宋体"/>
          <w:szCs w:val="21"/>
        </w:rPr>
        <w:t>3</w:t>
      </w:r>
      <w:r>
        <w:rPr>
          <w:rFonts w:hint="eastAsia" w:ascii="宋体" w:hAnsi="宋体" w:cs="宋体"/>
          <w:szCs w:val="21"/>
          <w:lang w:val="zh-CN"/>
        </w:rPr>
        <w:t xml:space="preserve"> 评分标准</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w:t>
      </w:r>
      <w:r>
        <w:rPr>
          <w:rFonts w:hint="eastAsia" w:ascii="宋体" w:hAnsi="宋体" w:cs="宋体"/>
          <w:lang w:val="zh-CN"/>
        </w:rPr>
        <w:t>投标价格</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xml:space="preserve">：见评标办法附表二。  </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lang w:val="zh-CN"/>
        </w:rPr>
        <w:t>项目业绩</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4"/>
          <w:lang w:val="zh-CN"/>
        </w:rPr>
        <w:t>企业实力</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4"/>
          <w:lang w:val="zh-CN"/>
        </w:rPr>
        <w:t>质量管理</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w:t>
      </w:r>
      <w:r>
        <w:rPr>
          <w:rFonts w:hint="eastAsia" w:ascii="宋体" w:hAnsi="宋体" w:cs="宋体"/>
          <w:szCs w:val="24"/>
          <w:lang w:val="zh-CN"/>
        </w:rPr>
        <w:t>工作方案</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ascii="宋体" w:hAnsi="宋体" w:cs="宋体"/>
          <w:szCs w:val="24"/>
          <w:lang w:val="zh-CN"/>
        </w:rPr>
        <w:t>信息安全</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4"/>
          <w:lang w:val="zh-CN"/>
        </w:rPr>
        <w:t>财务状况</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ind w:firstLine="359" w:firstLineChars="171"/>
        <w:rPr>
          <w:rFonts w:ascii="宋体" w:hAnsi="宋体" w:cs="宋体"/>
          <w:bCs/>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w:t>
      </w:r>
      <w:r>
        <w:rPr>
          <w:rFonts w:hint="eastAsia" w:ascii="宋体" w:hAnsi="宋体" w:cs="宋体"/>
          <w:szCs w:val="24"/>
          <w:lang w:val="zh-CN"/>
        </w:rPr>
        <w:t>风险管理</w:t>
      </w:r>
      <w:r>
        <w:rPr>
          <w:rFonts w:hint="eastAsia" w:ascii="宋体" w:hAnsi="宋体" w:cs="宋体"/>
          <w:bCs/>
          <w:lang w:val="zh-CN"/>
        </w:rPr>
        <w:t>因素</w:t>
      </w:r>
      <w:r>
        <w:rPr>
          <w:rFonts w:hint="eastAsia" w:ascii="宋体" w:hAnsi="宋体" w:cs="宋体"/>
          <w:bCs/>
        </w:rPr>
        <w:t>评审</w:t>
      </w:r>
      <w:r>
        <w:rPr>
          <w:rFonts w:hint="eastAsia" w:ascii="宋体" w:hAnsi="宋体" w:cs="宋体"/>
          <w:bCs/>
          <w:lang w:val="zh-CN"/>
        </w:rPr>
        <w:t>: 见评标办法附表二</w:t>
      </w:r>
      <w:r>
        <w:rPr>
          <w:rFonts w:hint="eastAsia" w:ascii="宋体" w:hAnsi="宋体" w:cs="宋体"/>
          <w:bCs/>
        </w:rPr>
        <w:t>。</w:t>
      </w:r>
    </w:p>
    <w:p>
      <w:pPr>
        <w:autoSpaceDE w:val="0"/>
        <w:autoSpaceDN w:val="0"/>
        <w:adjustRightInd w:val="0"/>
        <w:spacing w:line="360" w:lineRule="auto"/>
        <w:ind w:firstLine="359" w:firstLineChars="171"/>
        <w:rPr>
          <w:rFonts w:ascii="宋体" w:hAnsi="宋体" w:cs="宋体"/>
          <w:bCs/>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）其他因素</w:t>
      </w:r>
      <w:r>
        <w:rPr>
          <w:rFonts w:hint="eastAsia" w:ascii="宋体" w:hAnsi="宋体" w:cs="宋体"/>
          <w:bCs/>
        </w:rPr>
        <w:t>评审</w:t>
      </w:r>
      <w:r>
        <w:rPr>
          <w:rFonts w:hint="eastAsia" w:ascii="宋体" w:hAnsi="宋体" w:cs="宋体"/>
          <w:bCs/>
          <w:lang w:val="zh-CN"/>
        </w:rPr>
        <w:t>: 见评标办法附表二。</w:t>
      </w:r>
    </w:p>
    <w:p>
      <w:pPr>
        <w:autoSpaceDE w:val="0"/>
        <w:autoSpaceDN w:val="0"/>
        <w:adjustRightInd w:val="0"/>
        <w:spacing w:line="360" w:lineRule="auto"/>
        <w:jc w:val="left"/>
        <w:rPr>
          <w:rFonts w:ascii="宋体" w:hAnsi="宋体" w:cs="宋体"/>
          <w:b/>
          <w:bCs/>
          <w:szCs w:val="21"/>
          <w:lang w:val="zh-CN"/>
        </w:rPr>
      </w:pPr>
      <w:r>
        <w:rPr>
          <w:rFonts w:ascii="宋体" w:hAnsi="宋体" w:cs="宋体"/>
          <w:b/>
          <w:bCs/>
          <w:szCs w:val="21"/>
          <w:lang w:val="zh-CN"/>
        </w:rPr>
        <w:t>3.</w:t>
      </w:r>
      <w:r>
        <w:rPr>
          <w:rFonts w:hint="eastAsia" w:ascii="宋体" w:hAnsi="宋体" w:cs="宋体"/>
          <w:b/>
          <w:bCs/>
          <w:szCs w:val="21"/>
          <w:lang w:val="zh-CN"/>
        </w:rPr>
        <w:t>评标程序</w:t>
      </w:r>
    </w:p>
    <w:p>
      <w:pPr>
        <w:autoSpaceDE w:val="0"/>
        <w:autoSpaceDN w:val="0"/>
        <w:adjustRightInd w:val="0"/>
        <w:spacing w:line="360" w:lineRule="auto"/>
        <w:jc w:val="left"/>
        <w:rPr>
          <w:rFonts w:ascii="宋体" w:hAnsi="宋体" w:cs="宋体"/>
          <w:bCs/>
          <w:szCs w:val="21"/>
          <w:lang w:val="zh-CN"/>
        </w:rPr>
      </w:pPr>
      <w:r>
        <w:rPr>
          <w:rFonts w:ascii="宋体" w:hAnsi="宋体" w:cs="宋体"/>
          <w:bCs/>
          <w:szCs w:val="21"/>
          <w:lang w:val="zh-CN"/>
        </w:rPr>
        <w:t>3.1</w:t>
      </w:r>
      <w:r>
        <w:rPr>
          <w:rFonts w:hint="eastAsia" w:ascii="宋体" w:hAnsi="宋体" w:cs="宋体"/>
          <w:bCs/>
          <w:szCs w:val="21"/>
          <w:lang w:val="zh-CN"/>
        </w:rPr>
        <w:t>初步评审</w:t>
      </w:r>
    </w:p>
    <w:p>
      <w:pPr>
        <w:autoSpaceDE w:val="0"/>
        <w:autoSpaceDN w:val="0"/>
        <w:adjustRightInd w:val="0"/>
        <w:spacing w:line="360" w:lineRule="auto"/>
        <w:jc w:val="left"/>
        <w:rPr>
          <w:rFonts w:ascii="宋体" w:hAnsi="宋体" w:cs="宋体"/>
          <w:szCs w:val="21"/>
          <w:lang w:val="zh-CN"/>
        </w:rPr>
      </w:pPr>
      <w:r>
        <w:rPr>
          <w:rFonts w:ascii="宋体" w:hAnsi="宋体" w:cs="宋体"/>
          <w:szCs w:val="21"/>
          <w:lang w:val="zh-CN"/>
        </w:rPr>
        <w:t xml:space="preserve">    3.1.1</w:t>
      </w:r>
      <w:r>
        <w:rPr>
          <w:rFonts w:hint="eastAsia" w:ascii="宋体" w:hAnsi="宋体" w:cs="宋体"/>
          <w:szCs w:val="21"/>
          <w:lang w:val="zh-CN"/>
        </w:rPr>
        <w:t>评标委员会依据本章评标办法附表一规定的标准对响应文件进行初步评审。有一项不符合评审标准的，作无效投标处理。</w:t>
      </w:r>
    </w:p>
    <w:p>
      <w:pPr>
        <w:autoSpaceDE w:val="0"/>
        <w:autoSpaceDN w:val="0"/>
        <w:adjustRightInd w:val="0"/>
        <w:spacing w:line="360" w:lineRule="auto"/>
        <w:jc w:val="left"/>
        <w:rPr>
          <w:rFonts w:ascii="宋体" w:hAnsi="宋体" w:cs="宋体"/>
          <w:szCs w:val="21"/>
          <w:lang w:val="zh-CN"/>
        </w:rPr>
      </w:pPr>
      <w:r>
        <w:rPr>
          <w:rFonts w:ascii="宋体" w:hAnsi="宋体" w:cs="宋体"/>
          <w:szCs w:val="21"/>
          <w:lang w:val="zh-CN"/>
        </w:rPr>
        <w:t xml:space="preserve">    3.1.</w:t>
      </w:r>
      <w:r>
        <w:rPr>
          <w:rFonts w:hint="eastAsia" w:ascii="宋体" w:hAnsi="宋体" w:cs="宋体"/>
          <w:szCs w:val="21"/>
        </w:rPr>
        <w:t>2</w:t>
      </w:r>
      <w:r>
        <w:rPr>
          <w:rFonts w:hint="eastAsia" w:ascii="宋体" w:hAnsi="宋体" w:cs="宋体"/>
          <w:szCs w:val="21"/>
          <w:lang w:val="zh-CN"/>
        </w:rPr>
        <w:t xml:space="preserve"> 投标报价有算术错误的，评标委员会按以下原则对投标报价进行修正，修正的价格经投标人书面确认后具有约束力。投标方不接受修正价格的，其投标作无效投标处理。</w:t>
      </w:r>
    </w:p>
    <w:p>
      <w:pPr>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）响应文件中的大写金额与小写金额不一致的，以大写金额为准；</w:t>
      </w:r>
    </w:p>
    <w:p>
      <w:pPr>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）总价金额与依据单价计算出的结果不一致的，以单价金额为准修正总价，但单价金额小数点有明显错误的除外。</w:t>
      </w:r>
    </w:p>
    <w:p>
      <w:pPr>
        <w:autoSpaceDE w:val="0"/>
        <w:autoSpaceDN w:val="0"/>
        <w:adjustRightInd w:val="0"/>
        <w:spacing w:line="360" w:lineRule="auto"/>
        <w:jc w:val="left"/>
        <w:rPr>
          <w:rFonts w:ascii="宋体" w:hAnsi="宋体" w:cs="宋体"/>
          <w:bCs/>
          <w:szCs w:val="21"/>
          <w:lang w:val="zh-CN"/>
        </w:rPr>
      </w:pPr>
      <w:r>
        <w:rPr>
          <w:rFonts w:ascii="宋体" w:hAnsi="宋体" w:cs="宋体"/>
          <w:bCs/>
          <w:szCs w:val="21"/>
          <w:lang w:val="zh-CN"/>
        </w:rPr>
        <w:t>3.2</w:t>
      </w:r>
      <w:r>
        <w:rPr>
          <w:rFonts w:hint="eastAsia" w:ascii="宋体" w:hAnsi="宋体" w:cs="宋体"/>
          <w:bCs/>
          <w:szCs w:val="21"/>
          <w:lang w:val="zh-CN"/>
        </w:rPr>
        <w:t xml:space="preserve"> 详细评审</w:t>
      </w:r>
    </w:p>
    <w:p>
      <w:pPr>
        <w:spacing w:line="480" w:lineRule="exact"/>
        <w:rPr>
          <w:rFonts w:ascii="宋体" w:hAnsi="宋体" w:cs="宋体"/>
          <w:szCs w:val="21"/>
          <w:lang w:val="zh-CN"/>
        </w:rPr>
      </w:pPr>
      <w:r>
        <w:rPr>
          <w:rFonts w:hint="eastAsia" w:ascii="宋体" w:hAnsi="宋体" w:cs="宋体"/>
          <w:szCs w:val="21"/>
          <w:lang w:val="zh-CN"/>
        </w:rPr>
        <w:t>3.2.1 评标委员会按本章第2.2款规定的量化因素和分值进行打分，并计算出综合评估得分。</w:t>
      </w:r>
    </w:p>
    <w:p>
      <w:pPr>
        <w:spacing w:line="480" w:lineRule="exact"/>
        <w:ind w:firstLine="420" w:firstLineChars="200"/>
        <w:rPr>
          <w:rFonts w:ascii="宋体" w:hAnsi="宋体" w:cs="宋体"/>
          <w:szCs w:val="21"/>
          <w:lang w:val="zh-CN"/>
        </w:rPr>
      </w:pPr>
      <w:r>
        <w:rPr>
          <w:rFonts w:hint="eastAsia" w:ascii="宋体" w:hAnsi="宋体" w:cs="宋体"/>
          <w:szCs w:val="21"/>
          <w:lang w:val="zh-CN"/>
        </w:rPr>
        <w:t>（1）按本章第2.2.</w:t>
      </w:r>
      <w:r>
        <w:rPr>
          <w:rFonts w:hint="eastAsia" w:ascii="宋体" w:hAnsi="宋体" w:cs="宋体"/>
          <w:szCs w:val="21"/>
        </w:rPr>
        <w:t>2</w:t>
      </w:r>
      <w:r>
        <w:rPr>
          <w:rFonts w:hint="eastAsia" w:ascii="宋体" w:hAnsi="宋体" w:cs="宋体"/>
          <w:szCs w:val="21"/>
          <w:lang w:val="zh-CN"/>
        </w:rPr>
        <w:t>（1）目规定的评审因素和分值计算出得分A；</w:t>
      </w:r>
    </w:p>
    <w:p>
      <w:pPr>
        <w:spacing w:line="480" w:lineRule="exact"/>
        <w:ind w:firstLine="420" w:firstLineChars="200"/>
        <w:rPr>
          <w:rFonts w:ascii="宋体" w:hAnsi="宋体" w:cs="宋体"/>
          <w:szCs w:val="21"/>
          <w:lang w:val="zh-CN"/>
        </w:rPr>
      </w:pPr>
      <w:r>
        <w:rPr>
          <w:rFonts w:hint="eastAsia" w:ascii="宋体" w:hAnsi="宋体" w:cs="宋体"/>
          <w:szCs w:val="21"/>
          <w:lang w:val="zh-CN"/>
        </w:rPr>
        <w:t>（2）按本章第2.2.</w:t>
      </w:r>
      <w:r>
        <w:rPr>
          <w:rFonts w:hint="eastAsia" w:ascii="宋体" w:hAnsi="宋体" w:cs="宋体"/>
          <w:szCs w:val="21"/>
        </w:rPr>
        <w:t>2</w:t>
      </w:r>
      <w:r>
        <w:rPr>
          <w:rFonts w:hint="eastAsia" w:ascii="宋体" w:hAnsi="宋体" w:cs="宋体"/>
          <w:szCs w:val="21"/>
          <w:lang w:val="zh-CN"/>
        </w:rPr>
        <w:t>（2）目规定的评审因素和分值计算出得分B；</w:t>
      </w:r>
    </w:p>
    <w:p>
      <w:pPr>
        <w:spacing w:line="480" w:lineRule="exact"/>
        <w:ind w:firstLine="420" w:firstLineChars="200"/>
        <w:rPr>
          <w:rFonts w:ascii="宋体" w:hAnsi="宋体" w:cs="宋体"/>
          <w:szCs w:val="21"/>
          <w:lang w:val="zh-CN"/>
        </w:rPr>
      </w:pPr>
      <w:r>
        <w:rPr>
          <w:rFonts w:hint="eastAsia" w:ascii="宋体" w:hAnsi="宋体" w:cs="宋体"/>
          <w:szCs w:val="21"/>
          <w:lang w:val="zh-CN"/>
        </w:rPr>
        <w:t>（3）按本章第2.2.</w:t>
      </w:r>
      <w:r>
        <w:rPr>
          <w:rFonts w:hint="eastAsia" w:ascii="宋体" w:hAnsi="宋体" w:cs="宋体"/>
          <w:szCs w:val="21"/>
        </w:rPr>
        <w:t>2</w:t>
      </w:r>
      <w:r>
        <w:rPr>
          <w:rFonts w:hint="eastAsia" w:ascii="宋体" w:hAnsi="宋体" w:cs="宋体"/>
          <w:szCs w:val="21"/>
          <w:lang w:val="zh-CN"/>
        </w:rPr>
        <w:t>（3）目规定的评审因素和分值计算出得分C；</w:t>
      </w:r>
    </w:p>
    <w:p>
      <w:pPr>
        <w:spacing w:line="48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）目规定的评审因素和分值计算出得分</w:t>
      </w:r>
      <w:r>
        <w:rPr>
          <w:rFonts w:hint="eastAsia" w:ascii="宋体" w:hAnsi="宋体" w:cs="宋体"/>
          <w:szCs w:val="21"/>
        </w:rPr>
        <w:t>D</w:t>
      </w:r>
      <w:r>
        <w:rPr>
          <w:rFonts w:hint="eastAsia" w:ascii="宋体" w:hAnsi="宋体" w:cs="宋体"/>
          <w:szCs w:val="21"/>
          <w:lang w:val="zh-CN"/>
        </w:rPr>
        <w:t>；</w:t>
      </w:r>
    </w:p>
    <w:p>
      <w:pPr>
        <w:spacing w:line="480" w:lineRule="exact"/>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）目规定的评审因素和分值计算出得分</w:t>
      </w:r>
      <w:r>
        <w:rPr>
          <w:rFonts w:hint="eastAsia" w:ascii="宋体" w:hAnsi="宋体" w:cs="宋体"/>
          <w:szCs w:val="21"/>
        </w:rPr>
        <w:t>E</w:t>
      </w:r>
      <w:r>
        <w:rPr>
          <w:rFonts w:hint="eastAsia" w:ascii="宋体" w:hAnsi="宋体" w:cs="宋体"/>
          <w:szCs w:val="21"/>
          <w:lang w:val="zh-CN"/>
        </w:rPr>
        <w:t>；</w:t>
      </w:r>
    </w:p>
    <w:p>
      <w:pPr>
        <w:spacing w:line="48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）目规定的评审因素和分值计算出得分</w:t>
      </w:r>
      <w:r>
        <w:rPr>
          <w:rFonts w:hint="eastAsia" w:ascii="宋体" w:hAnsi="宋体" w:cs="宋体"/>
          <w:szCs w:val="21"/>
        </w:rPr>
        <w:t>F</w:t>
      </w:r>
      <w:r>
        <w:rPr>
          <w:rFonts w:hint="eastAsia" w:ascii="宋体" w:hAnsi="宋体" w:cs="宋体"/>
          <w:szCs w:val="21"/>
          <w:lang w:val="zh-CN"/>
        </w:rPr>
        <w:t>；</w:t>
      </w:r>
    </w:p>
    <w:p>
      <w:pPr>
        <w:spacing w:line="48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）目规定的评审因素和分值计算出得分</w:t>
      </w:r>
      <w:r>
        <w:rPr>
          <w:rFonts w:hint="eastAsia" w:ascii="宋体" w:hAnsi="宋体" w:cs="宋体"/>
          <w:szCs w:val="21"/>
        </w:rPr>
        <w:t>G</w:t>
      </w:r>
      <w:r>
        <w:rPr>
          <w:rFonts w:hint="eastAsia" w:ascii="宋体" w:hAnsi="宋体" w:cs="宋体"/>
          <w:szCs w:val="21"/>
          <w:lang w:val="zh-CN"/>
        </w:rPr>
        <w:t>；</w:t>
      </w:r>
    </w:p>
    <w:p>
      <w:pPr>
        <w:spacing w:line="48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）目规定的评审因素和分值计算出得分</w:t>
      </w:r>
      <w:r>
        <w:rPr>
          <w:rFonts w:hint="eastAsia" w:ascii="宋体" w:hAnsi="宋体" w:cs="宋体"/>
          <w:szCs w:val="21"/>
        </w:rPr>
        <w:t>H</w:t>
      </w:r>
      <w:r>
        <w:rPr>
          <w:rFonts w:hint="eastAsia" w:ascii="宋体" w:hAnsi="宋体" w:cs="宋体"/>
          <w:szCs w:val="21"/>
          <w:lang w:val="zh-CN"/>
        </w:rPr>
        <w:t>；</w:t>
      </w:r>
    </w:p>
    <w:p>
      <w:pPr>
        <w:spacing w:line="48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）按本章第2.2.</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）目规定的评审因素和分值计算出得分</w:t>
      </w:r>
      <w:r>
        <w:rPr>
          <w:rFonts w:hint="eastAsia" w:ascii="宋体" w:hAnsi="宋体" w:cs="宋体"/>
          <w:szCs w:val="21"/>
        </w:rPr>
        <w:t>I</w:t>
      </w:r>
      <w:r>
        <w:rPr>
          <w:rFonts w:hint="eastAsia" w:ascii="宋体" w:hAnsi="宋体" w:cs="宋体"/>
          <w:szCs w:val="21"/>
          <w:lang w:val="zh-CN"/>
        </w:rPr>
        <w:t>；</w:t>
      </w:r>
    </w:p>
    <w:p>
      <w:pPr>
        <w:spacing w:line="480" w:lineRule="exact"/>
        <w:rPr>
          <w:rFonts w:ascii="宋体" w:hAnsi="宋体" w:cs="宋体"/>
          <w:szCs w:val="21"/>
          <w:lang w:val="zh-CN"/>
        </w:rPr>
      </w:pPr>
      <w:r>
        <w:rPr>
          <w:rFonts w:hint="eastAsia" w:ascii="宋体" w:hAnsi="宋体" w:cs="宋体"/>
          <w:szCs w:val="21"/>
          <w:lang w:val="zh-CN"/>
        </w:rPr>
        <w:t>3.2.2 评分分值计算保留小数点后两位，小数点后第三位“四舍五入”。</w:t>
      </w:r>
    </w:p>
    <w:p>
      <w:pPr>
        <w:spacing w:line="480" w:lineRule="exact"/>
        <w:rPr>
          <w:rFonts w:ascii="宋体" w:hAnsi="宋体" w:cs="宋体"/>
          <w:szCs w:val="21"/>
          <w:lang w:val="zh-CN"/>
        </w:rPr>
      </w:pPr>
      <w:r>
        <w:rPr>
          <w:rFonts w:hint="eastAsia" w:ascii="宋体" w:hAnsi="宋体" w:cs="宋体"/>
          <w:szCs w:val="21"/>
          <w:lang w:val="zh-CN"/>
        </w:rPr>
        <w:t>3.2.3 投标人得分=A+B+C+</w:t>
      </w:r>
      <w:r>
        <w:rPr>
          <w:rFonts w:hint="eastAsia" w:ascii="宋体" w:hAnsi="宋体" w:cs="宋体"/>
          <w:szCs w:val="21"/>
        </w:rPr>
        <w:t>D+E+F+G+H+I</w:t>
      </w:r>
      <w:r>
        <w:rPr>
          <w:rFonts w:hint="eastAsia" w:ascii="宋体" w:hAnsi="宋体" w:cs="宋体"/>
          <w:szCs w:val="21"/>
          <w:lang w:val="zh-CN"/>
        </w:rPr>
        <w:t>。</w:t>
      </w:r>
    </w:p>
    <w:p>
      <w:pPr>
        <w:spacing w:line="480" w:lineRule="exact"/>
        <w:rPr>
          <w:rFonts w:ascii="宋体" w:hAnsi="宋体" w:cs="宋体"/>
          <w:szCs w:val="21"/>
          <w:lang w:val="zh-CN"/>
        </w:rPr>
      </w:pPr>
      <w:r>
        <w:rPr>
          <w:rFonts w:hint="eastAsia" w:ascii="宋体" w:hAnsi="宋体" w:cs="宋体"/>
          <w:szCs w:val="21"/>
          <w:lang w:val="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480" w:lineRule="exact"/>
        <w:rPr>
          <w:rFonts w:ascii="宋体" w:hAnsi="宋体" w:cs="宋体"/>
          <w:szCs w:val="21"/>
          <w:lang w:val="zh-CN"/>
        </w:rPr>
      </w:pPr>
      <w:r>
        <w:rPr>
          <w:rFonts w:hint="eastAsia" w:ascii="宋体" w:hAnsi="宋体" w:cs="宋体"/>
          <w:szCs w:val="21"/>
          <w:lang w:val="zh-CN"/>
        </w:rPr>
        <w:t>3.3 响应文件的澄清和补正</w:t>
      </w:r>
    </w:p>
    <w:p>
      <w:pPr>
        <w:spacing w:line="480" w:lineRule="exact"/>
        <w:rPr>
          <w:rFonts w:ascii="宋体" w:hAnsi="宋体" w:cs="宋体"/>
          <w:szCs w:val="21"/>
          <w:lang w:val="zh-CN"/>
        </w:rPr>
      </w:pPr>
      <w:r>
        <w:rPr>
          <w:rFonts w:hint="eastAsia" w:ascii="宋体" w:hAnsi="宋体" w:cs="宋体"/>
          <w:szCs w:val="21"/>
          <w:lang w:val="zh-CN"/>
        </w:rPr>
        <w:t>3.3.1在评标过程中，评标委员会可以书面形式要求投标人对所提交响应文件中不明确的内容进行书面澄清或说明，或者对细微偏差进行补正。评标委员会不接受投标人主动提出的澄清、说明或补正。</w:t>
      </w:r>
    </w:p>
    <w:p>
      <w:pPr>
        <w:spacing w:line="480" w:lineRule="exact"/>
        <w:rPr>
          <w:rFonts w:ascii="宋体" w:hAnsi="宋体" w:cs="宋体"/>
          <w:szCs w:val="21"/>
          <w:lang w:val="zh-CN"/>
        </w:rPr>
      </w:pPr>
      <w:r>
        <w:rPr>
          <w:rFonts w:hint="eastAsia" w:ascii="宋体" w:hAnsi="宋体" w:cs="宋体"/>
          <w:szCs w:val="21"/>
          <w:lang w:val="zh-CN"/>
        </w:rPr>
        <w:t>3.3.2 澄清、说明和补正不得改变响应文件的实质性内容。投标人的书面澄清、说明和补正属于响应文件的组成部分。</w:t>
      </w:r>
    </w:p>
    <w:p>
      <w:pPr>
        <w:spacing w:line="480" w:lineRule="exact"/>
        <w:rPr>
          <w:rFonts w:ascii="宋体" w:hAnsi="宋体" w:cs="宋体"/>
          <w:szCs w:val="21"/>
          <w:lang w:val="zh-CN"/>
        </w:rPr>
      </w:pPr>
      <w:r>
        <w:rPr>
          <w:rFonts w:hint="eastAsia" w:ascii="宋体" w:hAnsi="宋体" w:cs="宋体"/>
          <w:szCs w:val="21"/>
          <w:lang w:val="zh-CN"/>
        </w:rPr>
        <w:t>3.3.3 评标委员会对投标人提交的澄清、说明或补正有疑问的，可以要求投标人进一步澄清、说明或补正，直至满足评标委员会的要求。</w:t>
      </w:r>
    </w:p>
    <w:p>
      <w:pPr>
        <w:adjustRightInd w:val="0"/>
        <w:snapToGrid w:val="0"/>
        <w:spacing w:line="480" w:lineRule="exact"/>
        <w:jc w:val="left"/>
        <w:rPr>
          <w:rFonts w:ascii="宋体" w:hAnsi="宋体" w:cs="宋体"/>
          <w:szCs w:val="21"/>
          <w:lang w:val="zh-CN"/>
        </w:rPr>
      </w:pPr>
      <w:r>
        <w:rPr>
          <w:rFonts w:hint="eastAsia" w:ascii="宋体" w:hAnsi="宋体" w:cs="宋体"/>
          <w:szCs w:val="21"/>
          <w:lang w:val="zh-CN"/>
        </w:rPr>
        <w:t>3.3.4 当有效投标不足三个时，评标委员会可依据评标委员会和评标方法暂行规定（原国家计委等七部委第12号令）第二十七条“评标委员会根据本规定第二十条、第二十一条、第二十二条、第二十三条、第二十五条的规定否决不合格投标或者界定为废标后，因有效投标不足三个使得投标明显缺乏竞争的，评标委员会可以否决全部投标。投标人少于三个或者所有投标被否决的，招标人应当依法重新招标”作出决定，是否继续评标。</w:t>
      </w:r>
    </w:p>
    <w:p>
      <w:pPr>
        <w:spacing w:line="480" w:lineRule="exact"/>
        <w:rPr>
          <w:rFonts w:ascii="宋体" w:hAnsi="宋体" w:cs="宋体"/>
          <w:szCs w:val="21"/>
          <w:lang w:val="zh-CN"/>
        </w:rPr>
      </w:pPr>
      <w:r>
        <w:rPr>
          <w:rFonts w:hint="eastAsia" w:ascii="宋体" w:hAnsi="宋体" w:cs="宋体"/>
          <w:szCs w:val="21"/>
          <w:lang w:val="zh-CN"/>
        </w:rPr>
        <w:t>3.4 评标结果</w:t>
      </w:r>
    </w:p>
    <w:p>
      <w:pPr>
        <w:spacing w:line="480" w:lineRule="exact"/>
        <w:rPr>
          <w:rFonts w:ascii="宋体" w:hAnsi="宋体" w:cs="宋体"/>
          <w:szCs w:val="21"/>
          <w:lang w:val="zh-CN"/>
        </w:rPr>
      </w:pPr>
      <w:r>
        <w:rPr>
          <w:rFonts w:hint="eastAsia" w:ascii="宋体" w:hAnsi="宋体" w:cs="宋体"/>
          <w:szCs w:val="21"/>
          <w:lang w:val="zh-CN"/>
        </w:rPr>
        <w:t>3.4.1评标委员会按照得分由高到低的顺序推荐中标候选人。</w:t>
      </w:r>
    </w:p>
    <w:p>
      <w:pPr>
        <w:spacing w:line="360" w:lineRule="auto"/>
        <w:rPr>
          <w:rFonts w:ascii="宋体" w:hAnsi="宋体" w:cs="宋体"/>
          <w:szCs w:val="21"/>
          <w:lang w:val="zh-CN"/>
        </w:rPr>
      </w:pPr>
      <w:r>
        <w:rPr>
          <w:rFonts w:hint="eastAsia" w:ascii="宋体" w:hAnsi="宋体" w:cs="宋体"/>
          <w:szCs w:val="21"/>
          <w:lang w:val="zh-CN"/>
        </w:rPr>
        <w:t>3.4.2招标人根据《</w:t>
      </w:r>
      <w:r>
        <w:rPr>
          <w:rFonts w:hint="eastAsia" w:ascii="宋体" w:hAnsi="宋体" w:cs="宋体"/>
          <w:lang w:val="zh-CN"/>
        </w:rPr>
        <w:t>中华人民共和国招标投标法实施条例</w:t>
      </w:r>
      <w:r>
        <w:rPr>
          <w:rFonts w:hint="eastAsia" w:ascii="宋体" w:hAnsi="宋体" w:cs="宋体"/>
          <w:szCs w:val="21"/>
          <w:lang w:val="zh-CN"/>
        </w:rPr>
        <w:t>》</w:t>
      </w:r>
      <w:r>
        <w:rPr>
          <w:rFonts w:hint="eastAsia" w:ascii="宋体" w:hAnsi="宋体" w:cs="宋体"/>
          <w:lang w:val="zh-CN"/>
        </w:rPr>
        <w:t>第五十五条“</w:t>
      </w:r>
      <w:r>
        <w:rPr>
          <w:rFonts w:hint="eastAsia" w:ascii="宋体" w:hAnsi="宋体" w:cs="宋体"/>
          <w:szCs w:val="21"/>
          <w:lang w:val="zh-CN"/>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确定中标人。</w:t>
      </w: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widowControl/>
        <w:jc w:val="center"/>
        <w:rPr>
          <w:rFonts w:ascii="宋体" w:hAnsi="宋体"/>
          <w:sz w:val="32"/>
          <w:lang w:val="zh-CN"/>
        </w:rPr>
      </w:pPr>
    </w:p>
    <w:p>
      <w:pPr>
        <w:rPr>
          <w:rFonts w:ascii="楷体" w:hAnsi="楷体" w:eastAsia="楷体" w:cs="楷体"/>
          <w:color w:val="000000"/>
          <w:sz w:val="28"/>
          <w:szCs w:val="28"/>
        </w:rPr>
      </w:pPr>
      <w:r>
        <w:rPr>
          <w:rFonts w:hint="eastAsia" w:ascii="楷体" w:hAnsi="楷体" w:eastAsia="楷体" w:cs="楷体"/>
          <w:color w:val="000000"/>
          <w:sz w:val="28"/>
          <w:szCs w:val="28"/>
        </w:rPr>
        <w:t>附件 3：</w:t>
      </w:r>
    </w:p>
    <w:p>
      <w:pPr>
        <w:jc w:val="center"/>
        <w:rPr>
          <w:rFonts w:ascii="楷体" w:hAnsi="楷体" w:eastAsia="楷体" w:cs="楷体"/>
          <w:color w:val="000000"/>
          <w:sz w:val="28"/>
          <w:szCs w:val="28"/>
        </w:rPr>
      </w:pPr>
      <w:r>
        <w:rPr>
          <w:rFonts w:hint="eastAsia" w:ascii="楷体" w:hAnsi="楷体" w:eastAsia="楷体" w:cs="楷体"/>
          <w:color w:val="000000"/>
          <w:sz w:val="44"/>
          <w:szCs w:val="44"/>
        </w:rPr>
        <w:t>响应文件格式和内容要求</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响应文件均以书面形式提供，采用胶装方式装订，不得采用活页装订，文件封页上应标明项目名称和投标方名称，用快递或直接送达方式提交。</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响应文件采用牛皮文件纸袋密封封装。</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参加邀请招标的文件请按以下顺序且至少包括以下内容： </w:t>
      </w:r>
    </w:p>
    <w:p>
      <w:pPr>
        <w:ind w:firstLine="560" w:firstLineChars="200"/>
        <w:rPr>
          <w:rFonts w:ascii="楷体" w:hAnsi="楷体" w:eastAsia="楷体" w:cs="楷体"/>
          <w:color w:val="000000"/>
          <w:sz w:val="28"/>
          <w:szCs w:val="28"/>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一、公司情况简介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1、营业执照副本复印件（2023年已完成年报公示，要求清晰反映企业法人年检情况记录和经营范围，同时加盖投标人公章），法人身份证、开户许可证复印件加盖公章。 </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二、投标函</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三、投标报价表</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四、法定代表人资格证明书</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五、法定代表人授权委托书</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   据此函，签字宣布同意如下：</w:t>
      </w:r>
    </w:p>
    <w:p>
      <w:pPr>
        <w:numPr>
          <w:ilvl w:val="0"/>
          <w:numId w:val="5"/>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我们承担根据招标文件的规定，完成合同的责任和义务。</w:t>
      </w:r>
    </w:p>
    <w:p>
      <w:pPr>
        <w:numPr>
          <w:ilvl w:val="0"/>
          <w:numId w:val="5"/>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我们已详细审核全部招标文件，包括招标文件修改书（如有）、参考资料及有关附件，不存在含糊不清或误解的问题。</w:t>
      </w:r>
    </w:p>
    <w:p>
      <w:pPr>
        <w:numPr>
          <w:ilvl w:val="0"/>
          <w:numId w:val="5"/>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我们同意在规定的时间、地点及方式递交本响应文件。</w:t>
      </w:r>
    </w:p>
    <w:p>
      <w:pPr>
        <w:numPr>
          <w:ilvl w:val="0"/>
          <w:numId w:val="5"/>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同意向贵方提供并配合贵方复核与本投标要求有关的任何证据或资料。</w:t>
      </w:r>
    </w:p>
    <w:p>
      <w:pPr>
        <w:numPr>
          <w:ilvl w:val="0"/>
          <w:numId w:val="5"/>
        </w:num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我们完全理解贵方不一定要接受最低报价的投标或收到的任何投标。</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与本投标有关的正式通讯地址为：</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投标人名称：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地址及邮编：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电话、电报、传真或电传：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投标人代表姓名：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地址：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开户银行名称：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银行帐号：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公章： </w:t>
      </w:r>
    </w:p>
    <w:p>
      <w:pPr>
        <w:rPr>
          <w:rFonts w:ascii="楷体" w:hAnsi="楷体" w:eastAsia="楷体" w:cs="楷体"/>
          <w:color w:val="000000"/>
          <w:sz w:val="28"/>
          <w:szCs w:val="28"/>
        </w:rPr>
      </w:pPr>
      <w:r>
        <w:rPr>
          <w:rFonts w:hint="eastAsia" w:ascii="楷体" w:hAnsi="楷体" w:eastAsia="楷体" w:cs="楷体"/>
          <w:color w:val="000000"/>
          <w:sz w:val="28"/>
          <w:szCs w:val="28"/>
        </w:rPr>
        <w:t>日期：     年    月     日</w:t>
      </w: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sz w:val="28"/>
          <w:szCs w:val="28"/>
        </w:rPr>
        <w:t>附件4：（注：报价以人民币为单位填报，报价为含税报价，须列出各个项目单价，不得仅填报总价。）</w:t>
      </w:r>
    </w:p>
    <w:p>
      <w:pPr>
        <w:jc w:val="center"/>
        <w:rPr>
          <w:rFonts w:ascii="楷体" w:hAnsi="楷体" w:eastAsia="楷体" w:cs="楷体"/>
          <w:color w:val="000000"/>
          <w:sz w:val="44"/>
          <w:szCs w:val="44"/>
        </w:rPr>
      </w:pPr>
      <w:r>
        <w:rPr>
          <w:rFonts w:hint="eastAsia" w:ascii="楷体" w:hAnsi="楷体" w:eastAsia="楷体" w:cs="楷体"/>
          <w:color w:val="000000"/>
          <w:sz w:val="44"/>
          <w:szCs w:val="44"/>
        </w:rPr>
        <w:t>投标方报价表</w:t>
      </w: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 xml:space="preserve">投标人（公章）：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法定代表人或其授权委托人： </w:t>
      </w:r>
    </w:p>
    <w:p>
      <w:pPr>
        <w:rPr>
          <w:rFonts w:ascii="楷体" w:hAnsi="楷体" w:eastAsia="楷体" w:cs="楷体"/>
          <w:color w:val="000000"/>
          <w:sz w:val="28"/>
          <w:szCs w:val="28"/>
        </w:rPr>
      </w:pPr>
      <w:r>
        <w:rPr>
          <w:rFonts w:hint="eastAsia" w:ascii="楷体" w:hAnsi="楷体" w:eastAsia="楷体" w:cs="楷体"/>
          <w:color w:val="000000"/>
          <w:sz w:val="28"/>
          <w:szCs w:val="28"/>
        </w:rPr>
        <w:t>日期：    年   月  日</w:t>
      </w:r>
    </w:p>
    <w:p>
      <w:pPr>
        <w:rPr>
          <w:rFonts w:ascii="楷体" w:hAnsi="楷体" w:eastAsia="楷体" w:cs="楷体"/>
          <w:color w:val="000000"/>
          <w:sz w:val="28"/>
          <w:szCs w:val="28"/>
        </w:rPr>
      </w:pPr>
    </w:p>
    <w:p>
      <w:pPr>
        <w:rPr>
          <w:rFonts w:ascii="楷体" w:hAnsi="楷体" w:eastAsia="楷体" w:cs="楷体"/>
          <w:color w:val="000000"/>
          <w:sz w:val="44"/>
          <w:szCs w:val="44"/>
        </w:rPr>
      </w:pPr>
      <w:r>
        <w:rPr>
          <w:rFonts w:hint="eastAsia" w:ascii="楷体" w:hAnsi="楷体" w:eastAsia="楷体" w:cs="楷体"/>
          <w:color w:val="000000"/>
          <w:sz w:val="28"/>
          <w:szCs w:val="28"/>
        </w:rPr>
        <w:t>附件5：</w:t>
      </w:r>
    </w:p>
    <w:p>
      <w:pPr>
        <w:jc w:val="center"/>
        <w:rPr>
          <w:rFonts w:ascii="楷体" w:hAnsi="楷体" w:eastAsia="楷体" w:cs="楷体"/>
          <w:color w:val="000000"/>
          <w:sz w:val="44"/>
          <w:szCs w:val="44"/>
        </w:rPr>
      </w:pPr>
      <w:r>
        <w:rPr>
          <w:rFonts w:hint="eastAsia" w:ascii="楷体" w:hAnsi="楷体" w:eastAsia="楷体" w:cs="楷体"/>
          <w:color w:val="000000"/>
          <w:sz w:val="44"/>
          <w:szCs w:val="44"/>
        </w:rPr>
        <w:t>法定代表人资格证明书</w:t>
      </w:r>
    </w:p>
    <w:p>
      <w:pPr>
        <w:jc w:val="center"/>
        <w:rPr>
          <w:rFonts w:ascii="楷体" w:hAnsi="楷体" w:eastAsia="楷体" w:cs="楷体"/>
          <w:color w:val="000000"/>
          <w:sz w:val="44"/>
          <w:szCs w:val="44"/>
        </w:rPr>
      </w:pPr>
    </w:p>
    <w:p>
      <w:pPr>
        <w:rPr>
          <w:rFonts w:ascii="楷体" w:hAnsi="楷体" w:eastAsia="楷体" w:cs="楷体"/>
          <w:color w:val="000000"/>
          <w:sz w:val="28"/>
          <w:szCs w:val="28"/>
        </w:rPr>
      </w:pPr>
      <w:r>
        <w:rPr>
          <w:rFonts w:hint="eastAsia" w:ascii="楷体" w:hAnsi="楷体" w:eastAsia="楷体" w:cs="楷体"/>
          <w:color w:val="000000"/>
          <w:sz w:val="28"/>
          <w:szCs w:val="28"/>
        </w:rPr>
        <w:t>单位名称：</w:t>
      </w:r>
    </w:p>
    <w:p>
      <w:pPr>
        <w:rPr>
          <w:rFonts w:ascii="楷体" w:hAnsi="楷体" w:eastAsia="楷体" w:cs="楷体"/>
          <w:color w:val="000000"/>
          <w:sz w:val="28"/>
          <w:szCs w:val="28"/>
        </w:rPr>
      </w:pPr>
      <w:r>
        <w:rPr>
          <w:rFonts w:hint="eastAsia" w:ascii="楷体" w:hAnsi="楷体" w:eastAsia="楷体" w:cs="楷体"/>
          <w:color w:val="000000"/>
          <w:sz w:val="28"/>
          <w:szCs w:val="28"/>
        </w:rPr>
        <w:t>地址：</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姓名：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性别： </w:t>
      </w:r>
    </w:p>
    <w:p>
      <w:pPr>
        <w:rPr>
          <w:rFonts w:ascii="楷体" w:hAnsi="楷体" w:eastAsia="楷体" w:cs="楷体"/>
          <w:color w:val="000000"/>
          <w:sz w:val="28"/>
          <w:szCs w:val="28"/>
        </w:rPr>
      </w:pPr>
      <w:r>
        <w:rPr>
          <w:rFonts w:hint="eastAsia" w:ascii="楷体" w:hAnsi="楷体" w:eastAsia="楷体" w:cs="楷体"/>
          <w:color w:val="000000"/>
          <w:sz w:val="28"/>
          <w:szCs w:val="28"/>
        </w:rPr>
        <w:t>年龄：</w:t>
      </w:r>
    </w:p>
    <w:p>
      <w:pPr>
        <w:rPr>
          <w:rFonts w:ascii="楷体" w:hAnsi="楷体" w:eastAsia="楷体" w:cs="楷体"/>
          <w:color w:val="000000"/>
          <w:sz w:val="28"/>
          <w:szCs w:val="28"/>
        </w:rPr>
      </w:pPr>
      <w:r>
        <w:rPr>
          <w:rFonts w:hint="eastAsia" w:ascii="楷体" w:hAnsi="楷体" w:eastAsia="楷体" w:cs="楷体"/>
          <w:color w:val="000000"/>
          <w:sz w:val="28"/>
          <w:szCs w:val="28"/>
        </w:rPr>
        <w:t>职务：</w:t>
      </w:r>
    </w:p>
    <w:p>
      <w:pPr>
        <w:rPr>
          <w:rFonts w:ascii="楷体" w:hAnsi="楷体" w:eastAsia="楷体" w:cs="楷体"/>
          <w:color w:val="000000"/>
          <w:sz w:val="28"/>
          <w:szCs w:val="28"/>
        </w:rPr>
      </w:pPr>
      <w:r>
        <w:rPr>
          <w:rFonts w:hint="eastAsia" w:ascii="楷体" w:hAnsi="楷体" w:eastAsia="楷体" w:cs="楷体"/>
          <w:color w:val="000000"/>
          <w:sz w:val="28"/>
          <w:szCs w:val="28"/>
        </w:rPr>
        <w:t>身份证号码：</w:t>
      </w:r>
    </w:p>
    <w:p>
      <w:pPr>
        <w:rPr>
          <w:rFonts w:ascii="楷体" w:hAnsi="楷体" w:eastAsia="楷体" w:cs="楷体"/>
          <w:color w:val="000000"/>
          <w:sz w:val="28"/>
          <w:szCs w:val="28"/>
        </w:rPr>
      </w:pPr>
    </w:p>
    <w:p>
      <w:pPr>
        <w:ind w:firstLine="560" w:firstLineChars="200"/>
        <w:rPr>
          <w:rFonts w:ascii="楷体" w:hAnsi="楷体" w:eastAsia="楷体" w:cs="楷体"/>
          <w:color w:val="000000"/>
          <w:sz w:val="28"/>
          <w:szCs w:val="28"/>
          <w:u w:val="single"/>
        </w:rPr>
      </w:pPr>
      <w:r>
        <w:rPr>
          <w:rFonts w:hint="eastAsia" w:ascii="楷体" w:hAnsi="楷体" w:eastAsia="楷体" w:cs="楷体"/>
          <w:color w:val="000000"/>
          <w:sz w:val="28"/>
          <w:szCs w:val="28"/>
        </w:rPr>
        <w:t>本人系</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的法定代表人。</w:t>
      </w:r>
      <w:r>
        <w:rPr>
          <w:rFonts w:hint="eastAsia" w:ascii="楷体" w:hAnsi="楷体" w:eastAsia="楷体" w:cs="楷体"/>
          <w:color w:val="000000"/>
          <w:sz w:val="28"/>
          <w:szCs w:val="28"/>
          <w:u w:val="single"/>
        </w:rPr>
        <w:t>就北京市大龙伟业房地产开发股份有限公司2024年度财务报表审计、2024年度财务报表内部控制审计会计师事务所选聘项目</w:t>
      </w:r>
      <w:r>
        <w:rPr>
          <w:rFonts w:hint="eastAsia" w:ascii="楷体" w:hAnsi="楷体" w:eastAsia="楷体" w:cs="楷体"/>
          <w:color w:val="000000"/>
          <w:sz w:val="28"/>
          <w:szCs w:val="28"/>
        </w:rPr>
        <w:t>，签署上述的响应文件、进行合同谈判、签署合同和处理与之有关的一切事务。</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特此证明。</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 xml:space="preserve">投标人（公章）： </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日期： 年 月 日</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附件6：</w:t>
      </w:r>
    </w:p>
    <w:p>
      <w:pPr>
        <w:tabs>
          <w:tab w:val="left" w:pos="453"/>
          <w:tab w:val="center" w:pos="4213"/>
        </w:tabs>
        <w:jc w:val="left"/>
        <w:rPr>
          <w:rFonts w:ascii="楷体" w:hAnsi="楷体" w:eastAsia="楷体" w:cs="楷体"/>
          <w:color w:val="000000"/>
          <w:sz w:val="44"/>
          <w:szCs w:val="44"/>
        </w:rPr>
      </w:pPr>
      <w:r>
        <w:rPr>
          <w:rFonts w:hint="eastAsia" w:ascii="楷体" w:hAnsi="楷体" w:eastAsia="楷体" w:cs="楷体"/>
          <w:color w:val="000000"/>
          <w:sz w:val="44"/>
          <w:szCs w:val="44"/>
        </w:rPr>
        <w:tab/>
      </w:r>
      <w:r>
        <w:rPr>
          <w:rFonts w:hint="eastAsia" w:ascii="楷体" w:hAnsi="楷体" w:eastAsia="楷体" w:cs="楷体"/>
          <w:color w:val="000000"/>
          <w:sz w:val="44"/>
          <w:szCs w:val="44"/>
        </w:rPr>
        <w:tab/>
      </w:r>
      <w:r>
        <w:rPr>
          <w:rFonts w:hint="eastAsia" w:ascii="楷体" w:hAnsi="楷体" w:eastAsia="楷体" w:cs="楷体"/>
          <w:color w:val="000000"/>
          <w:sz w:val="44"/>
          <w:szCs w:val="44"/>
        </w:rPr>
        <w:t>授权委托书</w:t>
      </w:r>
    </w:p>
    <w:p>
      <w:pPr>
        <w:jc w:val="center"/>
        <w:rPr>
          <w:rFonts w:ascii="楷体" w:hAnsi="楷体" w:eastAsia="楷体" w:cs="楷体"/>
          <w:color w:val="000000"/>
          <w:sz w:val="44"/>
          <w:szCs w:val="44"/>
        </w:rPr>
      </w:pP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本授权书声明：注册于</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的</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公司的</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（被授权人的姓名、职务）为本公司的合法代理人，</w:t>
      </w:r>
      <w:r>
        <w:rPr>
          <w:rFonts w:hint="eastAsia" w:ascii="楷体" w:hAnsi="楷体" w:eastAsia="楷体" w:cs="楷体"/>
          <w:color w:val="000000"/>
          <w:sz w:val="28"/>
          <w:szCs w:val="28"/>
          <w:u w:val="single"/>
        </w:rPr>
        <w:t>就北京市大龙伟业房地产开发股份有限公司2024年度财务报表审计、2024年度财务报表内部控制审计会计师事务所选聘项目</w:t>
      </w:r>
      <w:r>
        <w:rPr>
          <w:rFonts w:hint="eastAsia" w:ascii="楷体" w:hAnsi="楷体" w:eastAsia="楷体" w:cs="楷体"/>
          <w:color w:val="000000"/>
          <w:sz w:val="28"/>
          <w:szCs w:val="28"/>
        </w:rPr>
        <w:t>的合同投标及合同的执行、完成和服务承诺，以本公司名义处理一切有关的事务，本公司承担其行为所带来的一切法律后果。</w:t>
      </w:r>
    </w:p>
    <w:p>
      <w:pPr>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本授权书于</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年</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月</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日签字生效，无转委权，特此声明。</w:t>
      </w: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 xml:space="preserve">法定代表人签字：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代理人（被授权人）签字：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代理人（被授权人）身份证号码：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被授权人职务：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被授权人单位名称、电话： </w:t>
      </w:r>
    </w:p>
    <w:p>
      <w:pPr>
        <w:rPr>
          <w:rFonts w:ascii="楷体" w:hAnsi="楷体" w:eastAsia="楷体" w:cs="楷体"/>
          <w:color w:val="000000"/>
          <w:sz w:val="28"/>
          <w:szCs w:val="28"/>
        </w:rPr>
      </w:pPr>
      <w:r>
        <w:rPr>
          <w:rFonts w:hint="eastAsia" w:ascii="楷体" w:hAnsi="楷体" w:eastAsia="楷体" w:cs="楷体"/>
          <w:color w:val="000000"/>
          <w:sz w:val="28"/>
          <w:szCs w:val="28"/>
        </w:rPr>
        <w:t xml:space="preserve">被授权人单位地址： </w:t>
      </w:r>
    </w:p>
    <w:p>
      <w:pPr>
        <w:rPr>
          <w:rFonts w:ascii="楷体" w:hAnsi="楷体" w:eastAsia="楷体" w:cs="楷体"/>
          <w:color w:val="000000"/>
          <w:sz w:val="28"/>
          <w:szCs w:val="28"/>
        </w:rPr>
      </w:pPr>
      <w:r>
        <w:rPr>
          <w:rFonts w:hint="eastAsia" w:ascii="楷体" w:hAnsi="楷体" w:eastAsia="楷体" w:cs="楷体"/>
          <w:color w:val="000000"/>
          <w:sz w:val="28"/>
          <w:szCs w:val="28"/>
        </w:rPr>
        <w:t>投标人（公章）：</w:t>
      </w: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p>
    <w:p>
      <w:pPr>
        <w:rPr>
          <w:rFonts w:ascii="楷体" w:hAnsi="楷体" w:eastAsia="楷体" w:cs="楷体"/>
          <w:color w:val="000000"/>
          <w:sz w:val="28"/>
          <w:szCs w:val="28"/>
        </w:rPr>
      </w:pPr>
      <w:r>
        <w:rPr>
          <w:rFonts w:hint="eastAsia" w:ascii="楷体" w:hAnsi="楷体" w:eastAsia="楷体" w:cs="楷体"/>
          <w:color w:val="000000"/>
          <w:sz w:val="28"/>
          <w:szCs w:val="28"/>
        </w:rPr>
        <w:t>附件7：</w:t>
      </w:r>
    </w:p>
    <w:p>
      <w:pPr>
        <w:pStyle w:val="2"/>
        <w:jc w:val="center"/>
        <w:rPr>
          <w:rFonts w:ascii="楷体" w:hAnsi="楷体" w:eastAsia="楷体" w:cs="楷体"/>
          <w:bCs/>
          <w:color w:val="000000"/>
        </w:rPr>
      </w:pPr>
      <w:r>
        <w:rPr>
          <w:rFonts w:hint="eastAsia" w:ascii="楷体" w:hAnsi="楷体" w:eastAsia="楷体" w:cs="楷体"/>
          <w:bCs/>
          <w:color w:val="000000"/>
        </w:rPr>
        <w:t>服务承诺书（格式）</w:t>
      </w:r>
    </w:p>
    <w:p>
      <w:pPr>
        <w:pStyle w:val="5"/>
        <w:spacing w:line="360" w:lineRule="auto"/>
        <w:jc w:val="center"/>
        <w:rPr>
          <w:rFonts w:ascii="楷体" w:hAnsi="楷体" w:eastAsia="楷体" w:cs="楷体"/>
          <w:color w:val="000000"/>
          <w:sz w:val="28"/>
          <w:szCs w:val="28"/>
        </w:rPr>
      </w:pPr>
      <w:r>
        <w:rPr>
          <w:rFonts w:hint="eastAsia" w:ascii="楷体" w:hAnsi="楷体" w:eastAsia="楷体" w:cs="楷体"/>
          <w:color w:val="000000"/>
          <w:sz w:val="28"/>
          <w:szCs w:val="28"/>
        </w:rPr>
        <w:t>(由报价人按所投项目售后服务和要求自行分别填写)</w:t>
      </w:r>
    </w:p>
    <w:p>
      <w:pPr>
        <w:pStyle w:val="5"/>
        <w:jc w:val="center"/>
        <w:rPr>
          <w:rFonts w:ascii="楷体" w:hAnsi="楷体" w:eastAsia="楷体" w:cs="楷体"/>
          <w:color w:val="000000"/>
        </w:rPr>
      </w:pPr>
    </w:p>
    <w:p>
      <w:pPr>
        <w:pStyle w:val="5"/>
        <w:spacing w:line="360" w:lineRule="auto"/>
        <w:jc w:val="center"/>
        <w:rPr>
          <w:rFonts w:ascii="楷体" w:hAnsi="楷体" w:eastAsia="楷体" w:cs="楷体"/>
          <w:color w:val="000000"/>
          <w:sz w:val="28"/>
          <w:szCs w:val="28"/>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pStyle w:val="5"/>
        <w:rPr>
          <w:rFonts w:ascii="楷体" w:hAnsi="楷体" w:eastAsia="楷体" w:cs="楷体"/>
          <w:color w:val="000000"/>
        </w:rPr>
      </w:pPr>
    </w:p>
    <w:p>
      <w:pPr>
        <w:spacing w:line="560" w:lineRule="exact"/>
        <w:ind w:firstLine="280" w:firstLineChars="100"/>
        <w:rPr>
          <w:rFonts w:ascii="楷体" w:hAnsi="楷体" w:eastAsia="楷体" w:cs="楷体"/>
          <w:color w:val="000000"/>
          <w:sz w:val="28"/>
          <w:szCs w:val="28"/>
        </w:rPr>
      </w:pPr>
      <w:r>
        <w:rPr>
          <w:rFonts w:hint="eastAsia" w:ascii="楷体" w:hAnsi="楷体" w:eastAsia="楷体" w:cs="楷体"/>
          <w:color w:val="000000"/>
          <w:sz w:val="28"/>
          <w:szCs w:val="28"/>
        </w:rPr>
        <w:t>报价人名称：（盖章）</w:t>
      </w:r>
    </w:p>
    <w:p>
      <w:pPr>
        <w:spacing w:line="500" w:lineRule="exact"/>
        <w:ind w:firstLine="280" w:firstLineChars="100"/>
        <w:rPr>
          <w:rFonts w:ascii="楷体" w:hAnsi="楷体" w:eastAsia="楷体" w:cs="楷体"/>
          <w:color w:val="000000"/>
          <w:sz w:val="28"/>
          <w:szCs w:val="28"/>
        </w:rPr>
      </w:pPr>
      <w:r>
        <w:rPr>
          <w:rFonts w:hint="eastAsia" w:ascii="楷体" w:hAnsi="楷体" w:eastAsia="楷体" w:cs="楷体"/>
          <w:color w:val="000000"/>
          <w:sz w:val="28"/>
          <w:szCs w:val="28"/>
        </w:rPr>
        <w:t>法定代表人或被授权人：</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rPr>
        <w:t>签字）</w:t>
      </w:r>
    </w:p>
    <w:p>
      <w:pPr>
        <w:spacing w:line="500" w:lineRule="exact"/>
        <w:ind w:firstLine="280" w:firstLineChars="100"/>
        <w:rPr>
          <w:rFonts w:ascii="楷体" w:hAnsi="楷体" w:eastAsia="楷体" w:cs="楷体"/>
          <w:color w:val="000000"/>
          <w:sz w:val="28"/>
          <w:szCs w:val="28"/>
          <w:u w:val="single"/>
        </w:rPr>
      </w:pPr>
      <w:r>
        <w:rPr>
          <w:rFonts w:hint="eastAsia" w:ascii="楷体" w:hAnsi="楷体" w:eastAsia="楷体" w:cs="楷体"/>
          <w:color w:val="000000"/>
          <w:sz w:val="28"/>
          <w:szCs w:val="28"/>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2163"/>
    <w:multiLevelType w:val="singleLevel"/>
    <w:tmpl w:val="B7872163"/>
    <w:lvl w:ilvl="0" w:tentative="0">
      <w:start w:val="1"/>
      <w:numFmt w:val="decimal"/>
      <w:suff w:val="nothing"/>
      <w:lvlText w:val="%1．"/>
      <w:lvlJc w:val="left"/>
      <w:pPr>
        <w:ind w:left="0" w:firstLine="400"/>
      </w:pPr>
      <w:rPr>
        <w:rFonts w:hint="default"/>
      </w:rPr>
    </w:lvl>
  </w:abstractNum>
  <w:abstractNum w:abstractNumId="1">
    <w:nsid w:val="C3A54134"/>
    <w:multiLevelType w:val="singleLevel"/>
    <w:tmpl w:val="C3A54134"/>
    <w:lvl w:ilvl="0" w:tentative="0">
      <w:start w:val="1"/>
      <w:numFmt w:val="decimal"/>
      <w:suff w:val="nothing"/>
      <w:lvlText w:val="%1．"/>
      <w:lvlJc w:val="left"/>
      <w:pPr>
        <w:ind w:left="0" w:firstLine="400"/>
      </w:pPr>
      <w:rPr>
        <w:rFonts w:hint="default"/>
      </w:rPr>
    </w:lvl>
  </w:abstractNum>
  <w:abstractNum w:abstractNumId="2">
    <w:nsid w:val="D09D1F2E"/>
    <w:multiLevelType w:val="singleLevel"/>
    <w:tmpl w:val="D09D1F2E"/>
    <w:lvl w:ilvl="0" w:tentative="0">
      <w:start w:val="1"/>
      <w:numFmt w:val="decimal"/>
      <w:suff w:val="nothing"/>
      <w:lvlText w:val="%1．"/>
      <w:lvlJc w:val="left"/>
      <w:pPr>
        <w:ind w:left="26" w:firstLine="400"/>
      </w:pPr>
      <w:rPr>
        <w:rFonts w:hint="default"/>
      </w:rPr>
    </w:lvl>
  </w:abstractNum>
  <w:abstractNum w:abstractNumId="3">
    <w:nsid w:val="D99F5262"/>
    <w:multiLevelType w:val="singleLevel"/>
    <w:tmpl w:val="D99F5262"/>
    <w:lvl w:ilvl="0" w:tentative="0">
      <w:start w:val="1"/>
      <w:numFmt w:val="decimal"/>
      <w:suff w:val="nothing"/>
      <w:lvlText w:val="%1．"/>
      <w:lvlJc w:val="left"/>
      <w:pPr>
        <w:ind w:left="0" w:firstLine="400"/>
      </w:pPr>
      <w:rPr>
        <w:rFonts w:hint="default"/>
      </w:rPr>
    </w:lvl>
  </w:abstractNum>
  <w:abstractNum w:abstractNumId="4">
    <w:nsid w:val="56E7D1C4"/>
    <w:multiLevelType w:val="singleLevel"/>
    <w:tmpl w:val="56E7D1C4"/>
    <w:lvl w:ilvl="0" w:tentative="0">
      <w:start w:val="2"/>
      <w:numFmt w:val="decimal"/>
      <w:suff w:val="nothing"/>
      <w:lvlText w:val="%1、"/>
      <w:lvlJc w:val="left"/>
      <w:pPr>
        <w:ind w:left="-77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ZjgyNWRmYWQ1NjdmZDcwZWJlM2MxYTczODJlYTQifQ=="/>
  </w:docVars>
  <w:rsids>
    <w:rsidRoot w:val="080179AA"/>
    <w:rsid w:val="080179AA"/>
    <w:rsid w:val="7B91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3"/>
    <w:qFormat/>
    <w:uiPriority w:val="0"/>
    <w:pPr>
      <w:keepNext/>
      <w:keepLines/>
      <w:spacing w:line="500" w:lineRule="exact"/>
      <w:outlineLvl w:val="1"/>
    </w:pPr>
    <w:rPr>
      <w:rFonts w:ascii="Arial" w:hAnsi="Arial" w:eastAsia="黑体"/>
      <w:b/>
      <w:sz w:val="28"/>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List 2"/>
    <w:basedOn w:val="1"/>
    <w:qFormat/>
    <w:uiPriority w:val="0"/>
    <w:pPr>
      <w:ind w:left="100" w:leftChars="200" w:hanging="200" w:hangingChars="200"/>
    </w:pPr>
    <w:rPr>
      <w:rFonts w:ascii="Times New Roman" w:hAnsi="Times New Roman" w:cs="Times New Roman"/>
      <w:szCs w:val="24"/>
    </w:rPr>
  </w:style>
  <w:style w:type="paragraph" w:styleId="5">
    <w:name w:val="Plain Text"/>
    <w:basedOn w:val="1"/>
    <w:qFormat/>
    <w:uiPriority w:val="0"/>
    <w:rPr>
      <w:rFonts w:ascii="宋体" w:hAnsi="Courier New" w:cs="Courier New"/>
      <w:szCs w:val="21"/>
    </w:rPr>
  </w:style>
  <w:style w:type="character" w:styleId="8">
    <w:name w:val="annotation reference"/>
    <w:qFormat/>
    <w:uiPriority w:val="0"/>
    <w:rPr>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2024-03-20T02:57:00Z</dcterms:created>
  <dc:creator>暖暖</dc:creator>
  <cp:lastModifiedBy>暖暖</cp:lastModifiedBy>
  <dcterms:modified xsi:type="dcterms:W3CDTF">2024-03-20T03:02:34Z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E381487D34FD4ACEB7ECC315E96890F6_11</vt:lpwstr>
  </property>
</Properties>
</file>